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1570</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27.02.06 Контроль работы измерительных приборов"</w:t>
              <w:br/>
              <w:t xml:space="preserve">(Зарегистрировано в Минюсте России 23.12.2016 N 44910)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декабря 2016 г. N 44910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1570</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27.02.06 КОНТРОЛЬ РАБОТЫ ИЗМЕРИТЕЛЬНЫХ ПРИБОРОВ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10"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27.02.06 Контроль работы измерительных приборов.</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1570</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27.02.06 КОНТРОЛЬ РАБОТЫ ИЗМЕРИТЕЛЬНЫХ ПРИБОРОВ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17.12.2020 </w:t>
            </w:r>
            <w:hyperlink w:history="0" r:id="rId1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N 747</w:t>
              </w:r>
            </w:hyperlink>
            <w:r>
              <w:rPr>
                <w:sz w:val="20"/>
                <w:color w:val="392c69"/>
              </w:rPr>
              <w:t xml:space="preserve">,</w:t>
            </w:r>
          </w:p>
          <w:p>
            <w:pPr>
              <w:pStyle w:val="0"/>
              <w:jc w:val="center"/>
            </w:pPr>
            <w:r>
              <w:rPr>
                <w:sz w:val="20"/>
                <w:color w:val="392c69"/>
              </w:rPr>
              <w:t xml:space="preserve">от 01.09.2022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N 796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27.02.06 Контроль работы измерительных приборов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bookmarkStart w:id="46" w:name="P46"/>
    <w:bookmarkEnd w:id="46"/>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См. </w:t>
      </w:r>
      <w:hyperlink w:history="0" r:id="rId15"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9" w:name="P69"/>
    <w:bookmarkEnd w:id="69"/>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6"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техник-метролог.</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1.12 введен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1.13.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&lt;3&gt;,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1.13 введен </w:t>
      </w:r>
      <w:hyperlink w:history="0" r:id="rId1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9"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2"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9"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9"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95" w:name="P95"/>
    <w:bookmarkEnd w:id="95"/>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6"/>
        <w:gridCol w:w="3175"/>
      </w:tblGrid>
      <w:tr>
        <w:tc>
          <w:tcPr>
            <w:tcW w:w="5896" w:type="dxa"/>
          </w:tcPr>
          <w:p>
            <w:pPr>
              <w:pStyle w:val="0"/>
              <w:jc w:val="center"/>
            </w:pPr>
            <w:r>
              <w:rPr>
                <w:sz w:val="20"/>
              </w:rPr>
              <w:t xml:space="preserve">Структура образовательной программы</w:t>
            </w:r>
          </w:p>
        </w:tc>
        <w:tc>
          <w:tcPr>
            <w:tcW w:w="3175" w:type="dxa"/>
          </w:tcPr>
          <w:p>
            <w:pPr>
              <w:pStyle w:val="0"/>
              <w:jc w:val="center"/>
            </w:pPr>
            <w:r>
              <w:rPr>
                <w:sz w:val="20"/>
              </w:rPr>
              <w:t xml:space="preserve">Объем образовательной программы в академических часах</w:t>
            </w:r>
          </w:p>
        </w:tc>
      </w:tr>
      <w:tr>
        <w:tc>
          <w:tcPr>
            <w:tcW w:w="5896" w:type="dxa"/>
          </w:tcPr>
          <w:p>
            <w:pPr>
              <w:pStyle w:val="0"/>
            </w:pPr>
            <w:r>
              <w:rPr>
                <w:sz w:val="20"/>
              </w:rPr>
              <w:t xml:space="preserve">Общий гуманитарный и социально-экономический цикл</w:t>
            </w:r>
          </w:p>
        </w:tc>
        <w:tc>
          <w:tcPr>
            <w:tcW w:w="3175" w:type="dxa"/>
          </w:tcPr>
          <w:p>
            <w:pPr>
              <w:pStyle w:val="0"/>
              <w:jc w:val="center"/>
            </w:pPr>
            <w:r>
              <w:rPr>
                <w:sz w:val="20"/>
              </w:rPr>
              <w:t xml:space="preserve">не менее 468</w:t>
            </w:r>
          </w:p>
        </w:tc>
      </w:tr>
      <w:tr>
        <w:tc>
          <w:tcPr>
            <w:tcW w:w="5896" w:type="dxa"/>
          </w:tcPr>
          <w:p>
            <w:pPr>
              <w:pStyle w:val="0"/>
            </w:pPr>
            <w:r>
              <w:rPr>
                <w:sz w:val="20"/>
              </w:rPr>
              <w:t xml:space="preserve">Математический и общий естественнонаучный цикл</w:t>
            </w:r>
          </w:p>
        </w:tc>
        <w:tc>
          <w:tcPr>
            <w:tcW w:w="3175" w:type="dxa"/>
          </w:tcPr>
          <w:p>
            <w:pPr>
              <w:pStyle w:val="0"/>
              <w:jc w:val="center"/>
            </w:pPr>
            <w:r>
              <w:rPr>
                <w:sz w:val="20"/>
              </w:rPr>
              <w:t xml:space="preserve">не менее 144</w:t>
            </w:r>
          </w:p>
        </w:tc>
      </w:tr>
      <w:tr>
        <w:tc>
          <w:tcPr>
            <w:tcW w:w="5896" w:type="dxa"/>
          </w:tcPr>
          <w:p>
            <w:pPr>
              <w:pStyle w:val="0"/>
            </w:pPr>
            <w:r>
              <w:rPr>
                <w:sz w:val="20"/>
              </w:rPr>
              <w:t xml:space="preserve">Общепрофессиональный цикл</w:t>
            </w:r>
          </w:p>
        </w:tc>
        <w:tc>
          <w:tcPr>
            <w:tcW w:w="3175" w:type="dxa"/>
          </w:tcPr>
          <w:p>
            <w:pPr>
              <w:pStyle w:val="0"/>
              <w:jc w:val="center"/>
            </w:pPr>
            <w:r>
              <w:rPr>
                <w:sz w:val="20"/>
              </w:rPr>
              <w:t xml:space="preserve">не менее 612</w:t>
            </w:r>
          </w:p>
        </w:tc>
      </w:tr>
      <w:tr>
        <w:tc>
          <w:tcPr>
            <w:tcW w:w="5896" w:type="dxa"/>
          </w:tcPr>
          <w:p>
            <w:pPr>
              <w:pStyle w:val="0"/>
            </w:pPr>
            <w:r>
              <w:rPr>
                <w:sz w:val="20"/>
              </w:rPr>
              <w:t xml:space="preserve">Профессиональный цикл</w:t>
            </w:r>
          </w:p>
        </w:tc>
        <w:tc>
          <w:tcPr>
            <w:tcW w:w="3175" w:type="dxa"/>
          </w:tcPr>
          <w:p>
            <w:pPr>
              <w:pStyle w:val="0"/>
              <w:jc w:val="center"/>
            </w:pPr>
            <w:r>
              <w:rPr>
                <w:sz w:val="20"/>
              </w:rPr>
              <w:t xml:space="preserve">не менее 1728</w:t>
            </w:r>
          </w:p>
        </w:tc>
      </w:tr>
      <w:tr>
        <w:tc>
          <w:tcPr>
            <w:tcW w:w="5896" w:type="dxa"/>
          </w:tcPr>
          <w:p>
            <w:pPr>
              <w:pStyle w:val="0"/>
            </w:pPr>
            <w:r>
              <w:rPr>
                <w:sz w:val="20"/>
              </w:rPr>
              <w:t xml:space="preserve">Государственная итоговая аттестация</w:t>
            </w:r>
          </w:p>
        </w:tc>
        <w:tc>
          <w:tcPr>
            <w:tcW w:w="3175" w:type="dxa"/>
          </w:tcPr>
          <w:p>
            <w:pPr>
              <w:pStyle w:val="0"/>
              <w:jc w:val="center"/>
            </w:pPr>
            <w:r>
              <w:rPr>
                <w:sz w:val="20"/>
              </w:rPr>
              <w:t xml:space="preserve">216</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5896" w:type="dxa"/>
          </w:tcPr>
          <w:p>
            <w:pPr>
              <w:pStyle w:val="0"/>
            </w:pPr>
            <w:r>
              <w:rPr>
                <w:sz w:val="20"/>
              </w:rPr>
              <w:t xml:space="preserve">на базе среднего общего образования</w:t>
            </w:r>
          </w:p>
        </w:tc>
        <w:tc>
          <w:tcPr>
            <w:tcW w:w="3175" w:type="dxa"/>
          </w:tcPr>
          <w:p>
            <w:pPr>
              <w:pStyle w:val="0"/>
              <w:jc w:val="center"/>
            </w:pPr>
            <w:r>
              <w:rPr>
                <w:sz w:val="20"/>
              </w:rPr>
              <w:t xml:space="preserve">4464</w:t>
            </w:r>
          </w:p>
        </w:tc>
      </w:tr>
      <w:tr>
        <w:tc>
          <w:tcPr>
            <w:tcW w:w="5896"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75"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5"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32" w:name="P132"/>
    <w:bookmarkEnd w:id="132"/>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3"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9"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осуществление технического обслуживания рабочих эталонов и поверочного оборудования;</w:t>
      </w:r>
    </w:p>
    <w:p>
      <w:pPr>
        <w:pStyle w:val="0"/>
        <w:spacing w:before="200" w:line-rule="auto"/>
        <w:ind w:firstLine="540"/>
        <w:jc w:val="both"/>
      </w:pPr>
      <w:r>
        <w:rPr>
          <w:sz w:val="20"/>
        </w:rPr>
        <w:t xml:space="preserve">осуществление метрологической экспертизы средств измерений, испытаний и контроля;</w:t>
      </w:r>
    </w:p>
    <w:p>
      <w:pPr>
        <w:pStyle w:val="0"/>
        <w:spacing w:before="200" w:line-rule="auto"/>
        <w:ind w:firstLine="540"/>
        <w:jc w:val="both"/>
      </w:pPr>
      <w:r>
        <w:rPr>
          <w:sz w:val="20"/>
        </w:rPr>
        <w:t xml:space="preserve">осуществление метрологического надзора за соблюдением правил и норм по обеспечению единства измерений на предприятии.</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16"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Осуществление технического обслуживания рабочих эталонов и поверочного оборудования:</w:t>
      </w:r>
    </w:p>
    <w:p>
      <w:pPr>
        <w:pStyle w:val="0"/>
        <w:spacing w:before="200" w:line-rule="auto"/>
        <w:ind w:firstLine="540"/>
        <w:jc w:val="both"/>
      </w:pPr>
      <w:r>
        <w:rPr>
          <w:sz w:val="20"/>
        </w:rPr>
        <w:t xml:space="preserve">ПК 1.1. Проводить поверку состояния рабочих эталонов, средств поверки и калибровки для оценки их пригодности к применению.</w:t>
      </w:r>
    </w:p>
    <w:p>
      <w:pPr>
        <w:pStyle w:val="0"/>
        <w:spacing w:before="200" w:line-rule="auto"/>
        <w:ind w:firstLine="540"/>
        <w:jc w:val="both"/>
      </w:pPr>
      <w:r>
        <w:rPr>
          <w:sz w:val="20"/>
        </w:rPr>
        <w:t xml:space="preserve">ПК 1.2. Устранять неисправности поверочного и калибровочного оборудования в рамках своей компетенции.</w:t>
      </w:r>
    </w:p>
    <w:p>
      <w:pPr>
        <w:pStyle w:val="0"/>
        <w:spacing w:before="200" w:line-rule="auto"/>
        <w:ind w:firstLine="540"/>
        <w:jc w:val="both"/>
      </w:pPr>
      <w:r>
        <w:rPr>
          <w:sz w:val="20"/>
        </w:rPr>
        <w:t xml:space="preserve">ПК 1.3. Организовывать хранение и контроль состояния рабочих эталонов, средств поверки и калибровки в соответствии с требованиями технической документации.</w:t>
      </w:r>
    </w:p>
    <w:p>
      <w:pPr>
        <w:pStyle w:val="0"/>
        <w:spacing w:before="200" w:line-rule="auto"/>
        <w:ind w:firstLine="540"/>
        <w:jc w:val="both"/>
      </w:pPr>
      <w:r>
        <w:rPr>
          <w:sz w:val="20"/>
        </w:rPr>
        <w:t xml:space="preserve">3.4.2. Осуществление метрологической экспертизы средств измерений, испытаний и контроля:</w:t>
      </w:r>
    </w:p>
    <w:p>
      <w:pPr>
        <w:pStyle w:val="0"/>
        <w:spacing w:before="200" w:line-rule="auto"/>
        <w:ind w:firstLine="540"/>
        <w:jc w:val="both"/>
      </w:pPr>
      <w:r>
        <w:rPr>
          <w:sz w:val="20"/>
        </w:rPr>
        <w:t xml:space="preserve">ПК 2.1. Проводить поверку (регулировку) средств измерений для обеспечения единства измерений в соответствии с требованиями нормативной и методической документации.</w:t>
      </w:r>
    </w:p>
    <w:p>
      <w:pPr>
        <w:pStyle w:val="0"/>
        <w:spacing w:before="200" w:line-rule="auto"/>
        <w:ind w:firstLine="540"/>
        <w:jc w:val="both"/>
      </w:pPr>
      <w:r>
        <w:rPr>
          <w:sz w:val="20"/>
        </w:rPr>
        <w:t xml:space="preserve">ПК 2.2. Проводить техническое обслуживание и текущий ремонт средств измерений в соответствии с техническими требованиями.</w:t>
      </w:r>
    </w:p>
    <w:p>
      <w:pPr>
        <w:pStyle w:val="0"/>
        <w:spacing w:before="200" w:line-rule="auto"/>
        <w:ind w:firstLine="540"/>
        <w:jc w:val="both"/>
      </w:pPr>
      <w:r>
        <w:rPr>
          <w:sz w:val="20"/>
        </w:rPr>
        <w:t xml:space="preserve">ПК 2.3. Выполнять точные и особо точные измерения для определения действительных значений контролируемых параметров.</w:t>
      </w:r>
    </w:p>
    <w:p>
      <w:pPr>
        <w:pStyle w:val="0"/>
        <w:spacing w:before="200" w:line-rule="auto"/>
        <w:ind w:firstLine="540"/>
        <w:jc w:val="both"/>
      </w:pPr>
      <w:r>
        <w:rPr>
          <w:sz w:val="20"/>
        </w:rPr>
        <w:t xml:space="preserve">3.4.3. Осуществление метрологического надзора за соблюдением правил и норм по обеспечению единства измерений на предприятии.</w:t>
      </w:r>
    </w:p>
    <w:p>
      <w:pPr>
        <w:pStyle w:val="0"/>
        <w:spacing w:before="200" w:line-rule="auto"/>
        <w:ind w:firstLine="540"/>
        <w:jc w:val="both"/>
      </w:pPr>
      <w:r>
        <w:rPr>
          <w:sz w:val="20"/>
        </w:rPr>
        <w:t xml:space="preserve">ПК 3.1. Проводить метрологическую экспертизу технической документации предприятия в пределах установленных полномочий.</w:t>
      </w:r>
    </w:p>
    <w:p>
      <w:pPr>
        <w:pStyle w:val="0"/>
        <w:spacing w:before="200" w:line-rule="auto"/>
        <w:ind w:firstLine="540"/>
        <w:jc w:val="both"/>
      </w:pPr>
      <w:r>
        <w:rPr>
          <w:sz w:val="20"/>
        </w:rPr>
        <w:t xml:space="preserve">ПК 3.2. Вести метрологический учет средств измерений, испытаний и контроля.</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42"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и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6"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6"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6"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&lt;4&gt; и Федеральным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&lt;5&gt;.</w:t>
      </w:r>
    </w:p>
    <w:p>
      <w:pPr>
        <w:pStyle w:val="0"/>
        <w:jc w:val="both"/>
      </w:pPr>
      <w:r>
        <w:rPr>
          <w:sz w:val="20"/>
        </w:rPr>
        <w:t xml:space="preserve">(п. 4.5 в ред. </w:t>
      </w:r>
      <w:hyperlink w:history="0" r:id="rId2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Бюджетный </w:t>
      </w:r>
      <w:hyperlink w:history="0" r:id="rId26"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&lt;5&gt;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w:t>
      </w:r>
    </w:p>
    <w:p>
      <w:pPr>
        <w:pStyle w:val="0"/>
        <w:jc w:val="right"/>
      </w:pPr>
      <w:r>
        <w:rPr>
          <w:sz w:val="20"/>
        </w:rPr>
        <w:t xml:space="preserve">27.02.06 Контроль работы</w:t>
      </w:r>
    </w:p>
    <w:p>
      <w:pPr>
        <w:pStyle w:val="0"/>
        <w:jc w:val="right"/>
      </w:pPr>
      <w:r>
        <w:rPr>
          <w:sz w:val="20"/>
        </w:rPr>
        <w:t xml:space="preserve">измерительных приборов</w:t>
      </w:r>
    </w:p>
    <w:p>
      <w:pPr>
        <w:pStyle w:val="0"/>
        <w:jc w:val="both"/>
      </w:pPr>
      <w:r>
        <w:rPr>
          <w:sz w:val="20"/>
        </w:rPr>
      </w:r>
    </w:p>
    <w:bookmarkStart w:id="216" w:name="P216"/>
    <w:bookmarkEnd w:id="216"/>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27.02.06</w:t>
      </w:r>
    </w:p>
    <w:p>
      <w:pPr>
        <w:pStyle w:val="2"/>
        <w:jc w:val="center"/>
      </w:pPr>
      <w:r>
        <w:rPr>
          <w:sz w:val="20"/>
        </w:rPr>
        <w:t xml:space="preserve">КОНТРОЛЬ РАБОТЫ ИЗМЕРИТЕЛЬНЫХ ПРИБОРОВ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62"/>
        <w:gridCol w:w="4463"/>
      </w:tblGrid>
      <w:tr>
        <w:tc>
          <w:tcPr>
            <w:tcW w:w="4562" w:type="dxa"/>
          </w:tcPr>
          <w:p>
            <w:pPr>
              <w:pStyle w:val="0"/>
              <w:jc w:val="center"/>
            </w:pPr>
            <w:r>
              <w:rPr>
                <w:sz w:val="20"/>
              </w:rPr>
              <w:t xml:space="preserve">Код по </w:t>
            </w:r>
            <w:hyperlink w:history="0" r:id="rId2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463" w:type="dxa"/>
          </w:tcPr>
          <w:p>
            <w:pPr>
              <w:pStyle w:val="0"/>
              <w:jc w:val="center"/>
            </w:pPr>
            <w:r>
              <w:rPr>
                <w:sz w:val="20"/>
              </w:rPr>
              <w:t xml:space="preserve">Наименование профессий рабочих, должностей служащих</w:t>
            </w:r>
          </w:p>
        </w:tc>
      </w:tr>
      <w:tr>
        <w:tc>
          <w:tcPr>
            <w:tcW w:w="4562" w:type="dxa"/>
          </w:tcPr>
          <w:p>
            <w:pPr>
              <w:pStyle w:val="0"/>
              <w:jc w:val="center"/>
            </w:pPr>
            <w:r>
              <w:rPr>
                <w:sz w:val="20"/>
              </w:rPr>
              <w:t xml:space="preserve">1</w:t>
            </w:r>
          </w:p>
        </w:tc>
        <w:tc>
          <w:tcPr>
            <w:tcW w:w="4463" w:type="dxa"/>
          </w:tcPr>
          <w:p>
            <w:pPr>
              <w:pStyle w:val="0"/>
              <w:jc w:val="center"/>
            </w:pPr>
            <w:r>
              <w:rPr>
                <w:sz w:val="20"/>
              </w:rPr>
              <w:t xml:space="preserve">2</w:t>
            </w:r>
          </w:p>
        </w:tc>
      </w:tr>
      <w:tr>
        <w:tc>
          <w:tcPr>
            <w:tcW w:w="4562" w:type="dxa"/>
          </w:tcPr>
          <w:p>
            <w:pPr>
              <w:pStyle w:val="0"/>
              <w:jc w:val="center"/>
            </w:pPr>
            <w:hyperlink w:history="0" r:id="rId2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12959</w:t>
              </w:r>
            </w:hyperlink>
          </w:p>
        </w:tc>
        <w:tc>
          <w:tcPr>
            <w:tcW w:w="4463" w:type="dxa"/>
          </w:tcPr>
          <w:p>
            <w:pPr>
              <w:pStyle w:val="0"/>
              <w:jc w:val="both"/>
            </w:pPr>
            <w:r>
              <w:rPr>
                <w:sz w:val="20"/>
              </w:rPr>
              <w:t xml:space="preserve">Контролер измерительных приборов и специального инструмента</w:t>
            </w:r>
          </w:p>
        </w:tc>
      </w:tr>
      <w:tr>
        <w:tc>
          <w:tcPr>
            <w:tcW w:w="4562" w:type="dxa"/>
          </w:tcPr>
          <w:p>
            <w:pPr>
              <w:pStyle w:val="0"/>
              <w:jc w:val="center"/>
            </w:pPr>
            <w:hyperlink w:history="0" r:id="rId2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18494</w:t>
              </w:r>
            </w:hyperlink>
          </w:p>
        </w:tc>
        <w:tc>
          <w:tcPr>
            <w:tcW w:w="4463" w:type="dxa"/>
          </w:tcPr>
          <w:p>
            <w:pPr>
              <w:pStyle w:val="0"/>
              <w:jc w:val="both"/>
            </w:pPr>
            <w:r>
              <w:rPr>
                <w:sz w:val="20"/>
              </w:rPr>
              <w:t xml:space="preserve">Слесарь по контрольно-измерительным приборам и автоматике</w:t>
            </w:r>
          </w:p>
        </w:tc>
      </w:tr>
      <w:tr>
        <w:tc>
          <w:tcPr>
            <w:tcW w:w="4562" w:type="dxa"/>
          </w:tcPr>
          <w:p>
            <w:pPr>
              <w:pStyle w:val="0"/>
              <w:jc w:val="center"/>
            </w:pPr>
            <w:hyperlink w:history="0" r:id="rId3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21299</w:t>
              </w:r>
            </w:hyperlink>
          </w:p>
        </w:tc>
        <w:tc>
          <w:tcPr>
            <w:tcW w:w="4463" w:type="dxa"/>
          </w:tcPr>
          <w:p>
            <w:pPr>
              <w:pStyle w:val="0"/>
              <w:jc w:val="both"/>
            </w:pPr>
            <w:r>
              <w:rPr>
                <w:sz w:val="20"/>
              </w:rPr>
              <w:t xml:space="preserve">Делопроизводитель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w:t>
      </w:r>
    </w:p>
    <w:p>
      <w:pPr>
        <w:pStyle w:val="0"/>
        <w:jc w:val="right"/>
      </w:pPr>
      <w:r>
        <w:rPr>
          <w:sz w:val="20"/>
        </w:rPr>
        <w:t xml:space="preserve">27.02.06 Контроль работы</w:t>
      </w:r>
    </w:p>
    <w:p>
      <w:pPr>
        <w:pStyle w:val="0"/>
        <w:jc w:val="right"/>
      </w:pPr>
      <w:r>
        <w:rPr>
          <w:sz w:val="20"/>
        </w:rPr>
        <w:t xml:space="preserve">измерительных приборов</w:t>
      </w:r>
    </w:p>
    <w:p>
      <w:pPr>
        <w:pStyle w:val="0"/>
        <w:jc w:val="both"/>
      </w:pPr>
      <w:r>
        <w:rPr>
          <w:sz w:val="20"/>
        </w:rPr>
      </w:r>
    </w:p>
    <w:bookmarkStart w:id="242" w:name="P242"/>
    <w:bookmarkEnd w:id="242"/>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27.02.06 КОНТРОЛЬ РАБОТЫ</w:t>
      </w:r>
    </w:p>
    <w:p>
      <w:pPr>
        <w:pStyle w:val="2"/>
        <w:jc w:val="center"/>
      </w:pPr>
      <w:r>
        <w:rPr>
          <w:sz w:val="20"/>
        </w:rPr>
        <w:t xml:space="preserve">ИЗМЕРИТЕЛЬНЫХ ПРИБОРОВ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2"/>
        <w:gridCol w:w="6129"/>
      </w:tblGrid>
      <w:tr>
        <w:tc>
          <w:tcPr>
            <w:tcW w:w="2942" w:type="dxa"/>
          </w:tcPr>
          <w:p>
            <w:pPr>
              <w:pStyle w:val="0"/>
              <w:jc w:val="center"/>
            </w:pPr>
            <w:r>
              <w:rPr>
                <w:sz w:val="20"/>
              </w:rPr>
              <w:t xml:space="preserve">Основной вид деятельности</w:t>
            </w:r>
          </w:p>
        </w:tc>
        <w:tc>
          <w:tcPr>
            <w:tcW w:w="6129" w:type="dxa"/>
          </w:tcPr>
          <w:p>
            <w:pPr>
              <w:pStyle w:val="0"/>
              <w:jc w:val="center"/>
            </w:pPr>
            <w:r>
              <w:rPr>
                <w:sz w:val="20"/>
              </w:rPr>
              <w:t xml:space="preserve">Требования к знаниям, умениям, практическому опыту</w:t>
            </w:r>
          </w:p>
        </w:tc>
      </w:tr>
      <w:tr>
        <w:tblPrEx>
          <w:tblBorders>
            <w:insideH w:val="nil"/>
          </w:tblBorders>
        </w:tblPrEx>
        <w:tc>
          <w:tcPr>
            <w:tcW w:w="2942" w:type="dxa"/>
            <w:tcBorders>
              <w:bottom w:val="nil"/>
            </w:tcBorders>
          </w:tcPr>
          <w:p>
            <w:pPr>
              <w:pStyle w:val="0"/>
            </w:pPr>
            <w:r>
              <w:rPr>
                <w:sz w:val="20"/>
              </w:rPr>
              <w:t xml:space="preserve">Осуществление технического обслуживания рабочих эталонов и поверочного оборудования</w:t>
            </w:r>
          </w:p>
        </w:tc>
        <w:tc>
          <w:tcPr>
            <w:tcW w:w="6129" w:type="dxa"/>
            <w:tcBorders>
              <w:bottom w:val="nil"/>
            </w:tcBorders>
          </w:tcPr>
          <w:p>
            <w:pPr>
              <w:pStyle w:val="0"/>
              <w:jc w:val="both"/>
            </w:pPr>
            <w:r>
              <w:rPr>
                <w:sz w:val="20"/>
              </w:rPr>
              <w:t xml:space="preserve">знать:</w:t>
            </w:r>
          </w:p>
          <w:p>
            <w:pPr>
              <w:pStyle w:val="0"/>
              <w:ind w:firstLine="283"/>
              <w:jc w:val="both"/>
            </w:pPr>
            <w:r>
              <w:rPr>
                <w:sz w:val="20"/>
              </w:rPr>
              <w:t xml:space="preserve">нормативные и методические документы, регламентирующие вопросы поверки (калибровки) средств измерений;</w:t>
            </w:r>
          </w:p>
          <w:p>
            <w:pPr>
              <w:pStyle w:val="0"/>
              <w:ind w:firstLine="283"/>
              <w:jc w:val="both"/>
            </w:pPr>
            <w:r>
              <w:rPr>
                <w:sz w:val="20"/>
              </w:rPr>
              <w:t xml:space="preserve">способы метрологического обеспечения производства;</w:t>
            </w:r>
          </w:p>
          <w:p>
            <w:pPr>
              <w:pStyle w:val="0"/>
              <w:ind w:firstLine="283"/>
              <w:jc w:val="both"/>
            </w:pPr>
            <w:r>
              <w:rPr>
                <w:sz w:val="20"/>
              </w:rPr>
              <w:t xml:space="preserve">способы обслуживания эталонов;</w:t>
            </w:r>
          </w:p>
          <w:p>
            <w:pPr>
              <w:pStyle w:val="0"/>
              <w:ind w:firstLine="283"/>
              <w:jc w:val="both"/>
            </w:pPr>
            <w:r>
              <w:rPr>
                <w:sz w:val="20"/>
              </w:rPr>
              <w:t xml:space="preserve">способы хранения и контроля состояния эталонов, средств поверки и калибровки;</w:t>
            </w:r>
          </w:p>
          <w:p>
            <w:pPr>
              <w:pStyle w:val="0"/>
              <w:ind w:firstLine="283"/>
              <w:jc w:val="both"/>
            </w:pPr>
            <w:r>
              <w:rPr>
                <w:sz w:val="20"/>
              </w:rPr>
              <w:t xml:space="preserve">виды, назначение и особенности рабочих эталонов, средств поверки и калибровки;</w:t>
            </w:r>
          </w:p>
          <w:p>
            <w:pPr>
              <w:pStyle w:val="0"/>
              <w:ind w:firstLine="283"/>
              <w:jc w:val="both"/>
            </w:pPr>
            <w:r>
              <w:rPr>
                <w:sz w:val="20"/>
              </w:rPr>
              <w:t xml:space="preserve">принципы работы и технические характеристики поверочного и калибровочного оборудования;</w:t>
            </w:r>
          </w:p>
          <w:p>
            <w:pPr>
              <w:pStyle w:val="0"/>
              <w:ind w:firstLine="283"/>
              <w:jc w:val="both"/>
            </w:pPr>
            <w:r>
              <w:rPr>
                <w:sz w:val="20"/>
              </w:rPr>
              <w:t xml:space="preserve">методики поверки рабочих эталонов;</w:t>
            </w:r>
          </w:p>
          <w:p>
            <w:pPr>
              <w:pStyle w:val="0"/>
              <w:ind w:firstLine="283"/>
              <w:jc w:val="both"/>
            </w:pPr>
            <w:r>
              <w:rPr>
                <w:sz w:val="20"/>
              </w:rPr>
              <w:t xml:space="preserve">методики определения погрешностей (неопределенностей) измерений;</w:t>
            </w:r>
          </w:p>
          <w:p>
            <w:pPr>
              <w:pStyle w:val="0"/>
              <w:ind w:firstLine="283"/>
              <w:jc w:val="both"/>
            </w:pPr>
            <w:r>
              <w:rPr>
                <w:sz w:val="20"/>
              </w:rPr>
              <w:t xml:space="preserve">методы и способы устранения неисправностей в пределах своей компетенции;</w:t>
            </w:r>
          </w:p>
          <w:p>
            <w:pPr>
              <w:pStyle w:val="0"/>
              <w:ind w:firstLine="283"/>
              <w:jc w:val="both"/>
            </w:pPr>
            <w:r>
              <w:rPr>
                <w:sz w:val="20"/>
              </w:rPr>
              <w:t xml:space="preserve">правила оформления учетной документации, необходимой для хранения и контроля состояния эталонов, средств поверки и калибровки;</w:t>
            </w:r>
          </w:p>
          <w:p>
            <w:pPr>
              <w:pStyle w:val="0"/>
              <w:ind w:firstLine="283"/>
              <w:jc w:val="both"/>
            </w:pPr>
            <w:r>
              <w:rPr>
                <w:sz w:val="20"/>
              </w:rPr>
              <w:t xml:space="preserve">правила и нормы охраны труда, требования безопасности при проведении технического обслуживания рабочих эталонов и поверочного оборудования.</w:t>
            </w:r>
          </w:p>
          <w:p>
            <w:pPr>
              <w:pStyle w:val="0"/>
              <w:jc w:val="both"/>
            </w:pPr>
            <w:r>
              <w:rPr>
                <w:sz w:val="20"/>
              </w:rPr>
              <w:t xml:space="preserve">уметь:</w:t>
            </w:r>
          </w:p>
          <w:p>
            <w:pPr>
              <w:pStyle w:val="0"/>
              <w:ind w:firstLine="283"/>
              <w:jc w:val="both"/>
            </w:pPr>
            <w:r>
              <w:rPr>
                <w:sz w:val="20"/>
              </w:rPr>
              <w:t xml:space="preserve">измерять рабочие эталоны, средства поверки и калибровки с помощью измерительного оборудования;</w:t>
            </w:r>
          </w:p>
          <w:p>
            <w:pPr>
              <w:pStyle w:val="0"/>
              <w:ind w:firstLine="283"/>
              <w:jc w:val="both"/>
            </w:pPr>
            <w:r>
              <w:rPr>
                <w:sz w:val="20"/>
              </w:rPr>
              <w:t xml:space="preserve">рассчитывать погрешности (неопределенности) результатов измерений для точности измерений;</w:t>
            </w:r>
          </w:p>
          <w:p>
            <w:pPr>
              <w:pStyle w:val="0"/>
              <w:ind w:firstLine="283"/>
              <w:jc w:val="both"/>
            </w:pPr>
            <w:r>
              <w:rPr>
                <w:sz w:val="20"/>
              </w:rPr>
              <w:t xml:space="preserve">оценивать пригодность рабочих эталонов, средств поверки и калибровки на основании полученных измерений, с учетом рассчитанной погрешности (неопределенности) на предмет их соответствия метрологическим требованиям;</w:t>
            </w:r>
          </w:p>
          <w:p>
            <w:pPr>
              <w:pStyle w:val="0"/>
              <w:ind w:firstLine="283"/>
              <w:jc w:val="both"/>
            </w:pPr>
            <w:r>
              <w:rPr>
                <w:sz w:val="20"/>
              </w:rPr>
              <w:t xml:space="preserve">выявлять неисправности эталонов, средств поверки и калибровки в результате измерений;</w:t>
            </w:r>
          </w:p>
          <w:p>
            <w:pPr>
              <w:pStyle w:val="0"/>
              <w:ind w:firstLine="283"/>
              <w:jc w:val="both"/>
            </w:pPr>
            <w:r>
              <w:rPr>
                <w:sz w:val="20"/>
              </w:rPr>
              <w:t xml:space="preserve">оформлять результаты измерений в соответствии с установленными требованиями;</w:t>
            </w:r>
          </w:p>
          <w:p>
            <w:pPr>
              <w:pStyle w:val="0"/>
              <w:ind w:firstLine="283"/>
              <w:jc w:val="both"/>
            </w:pPr>
            <w:r>
              <w:rPr>
                <w:sz w:val="20"/>
              </w:rPr>
              <w:t xml:space="preserve">выбирать методы и способы устранения неисправностей, выявленных в ходе поверки состояния рабочих эталонов, средств поверки и калибровки;</w:t>
            </w:r>
          </w:p>
          <w:p>
            <w:pPr>
              <w:pStyle w:val="0"/>
              <w:ind w:firstLine="283"/>
              <w:jc w:val="both"/>
            </w:pPr>
            <w:r>
              <w:rPr>
                <w:sz w:val="20"/>
              </w:rPr>
              <w:t xml:space="preserve">подбирать материалы и оборудование, необходимое для устранения выявленных неисправностей в соответствии с выбранным методом и способом устранения;</w:t>
            </w:r>
          </w:p>
          <w:p>
            <w:pPr>
              <w:pStyle w:val="0"/>
              <w:ind w:firstLine="283"/>
              <w:jc w:val="both"/>
            </w:pPr>
            <w:r>
              <w:rPr>
                <w:sz w:val="20"/>
              </w:rPr>
              <w:t xml:space="preserve">безопасно пользоваться оборудованием для устранения неисправностей поверочного и калибровочного оборудования;</w:t>
            </w:r>
          </w:p>
          <w:p>
            <w:pPr>
              <w:pStyle w:val="0"/>
              <w:ind w:firstLine="283"/>
              <w:jc w:val="both"/>
            </w:pPr>
            <w:r>
              <w:rPr>
                <w:sz w:val="20"/>
              </w:rPr>
              <w:t xml:space="preserve">выполнять мелкий ремонт поверочного и калибровочного оборудования в пределах своей компетенции;</w:t>
            </w:r>
          </w:p>
          <w:p>
            <w:pPr>
              <w:pStyle w:val="0"/>
              <w:ind w:firstLine="283"/>
              <w:jc w:val="both"/>
            </w:pPr>
            <w:r>
              <w:rPr>
                <w:sz w:val="20"/>
              </w:rPr>
              <w:t xml:space="preserve">оформлять результаты устранения неисправностей рабочих эталонов и поверочного оборудования;</w:t>
            </w:r>
          </w:p>
        </w:tc>
      </w:tr>
      <w:tr>
        <w:tblPrEx>
          <w:tblBorders>
            <w:insideH w:val="nil"/>
          </w:tblBorders>
        </w:tblPrEx>
        <w:tc>
          <w:tcPr>
            <w:tcW w:w="2942" w:type="dxa"/>
            <w:tcBorders>
              <w:top w:val="nil"/>
            </w:tcBorders>
          </w:tcPr>
          <w:p>
            <w:pPr>
              <w:pStyle w:val="0"/>
            </w:pPr>
            <w:r>
              <w:rPr>
                <w:sz w:val="20"/>
              </w:rPr>
            </w:r>
          </w:p>
        </w:tc>
        <w:tc>
          <w:tcPr>
            <w:tcW w:w="6129" w:type="dxa"/>
            <w:tcBorders>
              <w:top w:val="nil"/>
            </w:tcBorders>
          </w:tcPr>
          <w:p>
            <w:pPr>
              <w:pStyle w:val="0"/>
              <w:ind w:firstLine="283"/>
              <w:jc w:val="both"/>
            </w:pPr>
            <w:r>
              <w:rPr>
                <w:sz w:val="20"/>
              </w:rPr>
              <w:t xml:space="preserve">размещать на хранение рабочие эталоны, средства поверки и калибровки в соответствии с требованиями к условиям хранения;</w:t>
            </w:r>
          </w:p>
          <w:p>
            <w:pPr>
              <w:pStyle w:val="0"/>
              <w:ind w:firstLine="283"/>
              <w:jc w:val="both"/>
            </w:pPr>
            <w:r>
              <w:rPr>
                <w:sz w:val="20"/>
              </w:rPr>
              <w:t xml:space="preserve">контролировать условия хранения в соответствии с требованиями к хранению рабочих эталонов, средств поверки и калибровки;</w:t>
            </w:r>
          </w:p>
          <w:p>
            <w:pPr>
              <w:pStyle w:val="0"/>
              <w:ind w:firstLine="283"/>
              <w:jc w:val="both"/>
            </w:pPr>
            <w:r>
              <w:rPr>
                <w:sz w:val="20"/>
              </w:rPr>
              <w:t xml:space="preserve">оформлять учетную документацию, необходимую для хранения и контроля эталонов, средств поверки и калибровки в пределах своей компетенции.</w:t>
            </w:r>
          </w:p>
          <w:p>
            <w:pPr>
              <w:pStyle w:val="0"/>
              <w:jc w:val="both"/>
            </w:pPr>
            <w:r>
              <w:rPr>
                <w:sz w:val="20"/>
              </w:rPr>
              <w:t xml:space="preserve">иметь практический опыт в:</w:t>
            </w:r>
          </w:p>
          <w:p>
            <w:pPr>
              <w:pStyle w:val="0"/>
              <w:ind w:firstLine="283"/>
              <w:jc w:val="both"/>
            </w:pPr>
            <w:r>
              <w:rPr>
                <w:sz w:val="20"/>
              </w:rPr>
              <w:t xml:space="preserve">проведении поверки состояния рабочих эталонов, средств поверки и калибровки для оценки их пригодности к применению;</w:t>
            </w:r>
          </w:p>
          <w:p>
            <w:pPr>
              <w:pStyle w:val="0"/>
              <w:ind w:firstLine="283"/>
              <w:jc w:val="both"/>
            </w:pPr>
            <w:r>
              <w:rPr>
                <w:sz w:val="20"/>
              </w:rPr>
              <w:t xml:space="preserve">устранении неисправностей поверочного и калибровочного оборудования в пределах своей компетенции;</w:t>
            </w:r>
          </w:p>
          <w:p>
            <w:pPr>
              <w:pStyle w:val="0"/>
              <w:ind w:firstLine="283"/>
              <w:jc w:val="both"/>
            </w:pPr>
            <w:r>
              <w:rPr>
                <w:sz w:val="20"/>
              </w:rPr>
              <w:t xml:space="preserve">организации хранения и контроля состояния рабочих эталонов, средств поверки и калибровки в соответствии с требованиями технической документации.</w:t>
            </w:r>
          </w:p>
        </w:tc>
      </w:tr>
      <w:tr>
        <w:tblPrEx>
          <w:tblBorders>
            <w:insideH w:val="nil"/>
          </w:tblBorders>
        </w:tblPrEx>
        <w:tc>
          <w:tcPr>
            <w:tcW w:w="2942" w:type="dxa"/>
            <w:tcBorders>
              <w:bottom w:val="nil"/>
            </w:tcBorders>
          </w:tcPr>
          <w:p>
            <w:pPr>
              <w:pStyle w:val="0"/>
            </w:pPr>
            <w:r>
              <w:rPr>
                <w:sz w:val="20"/>
              </w:rPr>
              <w:t xml:space="preserve">Осуществление метрологической экспертизы средств измерений, испытаний и контроля</w:t>
            </w:r>
          </w:p>
        </w:tc>
        <w:tc>
          <w:tcPr>
            <w:tcW w:w="6129" w:type="dxa"/>
            <w:tcBorders>
              <w:bottom w:val="nil"/>
            </w:tcBorders>
          </w:tcPr>
          <w:p>
            <w:pPr>
              <w:pStyle w:val="0"/>
              <w:jc w:val="both"/>
            </w:pPr>
            <w:r>
              <w:rPr>
                <w:sz w:val="20"/>
              </w:rPr>
              <w:t xml:space="preserve">знать:</w:t>
            </w:r>
          </w:p>
          <w:p>
            <w:pPr>
              <w:pStyle w:val="0"/>
              <w:ind w:firstLine="283"/>
              <w:jc w:val="both"/>
            </w:pPr>
            <w:r>
              <w:rPr>
                <w:sz w:val="20"/>
              </w:rPr>
              <w:t xml:space="preserve">нормативные и методические документы, регламентирующие вопросы поверки (калибровки) средств измерений;</w:t>
            </w:r>
          </w:p>
          <w:p>
            <w:pPr>
              <w:pStyle w:val="0"/>
              <w:ind w:firstLine="283"/>
              <w:jc w:val="both"/>
            </w:pPr>
            <w:r>
              <w:rPr>
                <w:sz w:val="20"/>
              </w:rPr>
              <w:t xml:space="preserve">способы метрологического обеспечения производства;</w:t>
            </w:r>
          </w:p>
          <w:p>
            <w:pPr>
              <w:pStyle w:val="0"/>
              <w:ind w:firstLine="283"/>
              <w:jc w:val="both"/>
            </w:pPr>
            <w:r>
              <w:rPr>
                <w:sz w:val="20"/>
              </w:rPr>
              <w:t xml:space="preserve">методы и средства измерений;</w:t>
            </w:r>
          </w:p>
          <w:p>
            <w:pPr>
              <w:pStyle w:val="0"/>
              <w:ind w:firstLine="283"/>
              <w:jc w:val="both"/>
            </w:pPr>
            <w:r>
              <w:rPr>
                <w:sz w:val="20"/>
              </w:rPr>
              <w:t xml:space="preserve">технические характеристики, конструктивные особенности, назначение и принципы применения средств измерений, используемых в области деятельности организации;</w:t>
            </w:r>
          </w:p>
          <w:p>
            <w:pPr>
              <w:pStyle w:val="0"/>
              <w:ind w:firstLine="283"/>
              <w:jc w:val="both"/>
            </w:pPr>
            <w:r>
              <w:rPr>
                <w:sz w:val="20"/>
              </w:rPr>
              <w:t xml:space="preserve">физические принципы работы, область применения и принципиальные ограничения методов и средств измерений;</w:t>
            </w:r>
          </w:p>
          <w:p>
            <w:pPr>
              <w:pStyle w:val="0"/>
              <w:ind w:firstLine="283"/>
              <w:jc w:val="both"/>
            </w:pPr>
            <w:r>
              <w:rPr>
                <w:sz w:val="20"/>
              </w:rPr>
              <w:t xml:space="preserve">принцип работы и технические характеристики обслуживаемых средств измерений и автоматизированных систем метрологического обеспечения;</w:t>
            </w:r>
          </w:p>
          <w:p>
            <w:pPr>
              <w:pStyle w:val="0"/>
              <w:ind w:firstLine="283"/>
              <w:jc w:val="both"/>
            </w:pPr>
            <w:r>
              <w:rPr>
                <w:sz w:val="20"/>
              </w:rPr>
              <w:t xml:space="preserve">методики и средства поверки (калибровки) средств измерений;</w:t>
            </w:r>
          </w:p>
          <w:p>
            <w:pPr>
              <w:pStyle w:val="0"/>
              <w:ind w:firstLine="283"/>
              <w:jc w:val="both"/>
            </w:pPr>
            <w:r>
              <w:rPr>
                <w:sz w:val="20"/>
              </w:rPr>
              <w:t xml:space="preserve">методику технического обслуживания и ремонта средств измерений;</w:t>
            </w:r>
          </w:p>
          <w:p>
            <w:pPr>
              <w:pStyle w:val="0"/>
              <w:ind w:firstLine="283"/>
              <w:jc w:val="both"/>
            </w:pPr>
            <w:r>
              <w:rPr>
                <w:sz w:val="20"/>
              </w:rPr>
              <w:t xml:space="preserve">методы расчета погрешностей (неопределенностей);</w:t>
            </w:r>
          </w:p>
          <w:p>
            <w:pPr>
              <w:pStyle w:val="0"/>
              <w:ind w:firstLine="283"/>
              <w:jc w:val="both"/>
            </w:pPr>
            <w:r>
              <w:rPr>
                <w:sz w:val="20"/>
              </w:rPr>
              <w:t xml:space="preserve">порядок составления и правила оформления технической документации на производстве, в том числе результатов измерений;</w:t>
            </w:r>
          </w:p>
          <w:p>
            <w:pPr>
              <w:pStyle w:val="0"/>
              <w:ind w:firstLine="283"/>
              <w:jc w:val="both"/>
            </w:pPr>
            <w:r>
              <w:rPr>
                <w:sz w:val="20"/>
              </w:rPr>
              <w:t xml:space="preserve">показатели качества продукции и параметров технологического процесса.</w:t>
            </w:r>
          </w:p>
          <w:p>
            <w:pPr>
              <w:pStyle w:val="0"/>
              <w:jc w:val="both"/>
            </w:pPr>
            <w:r>
              <w:rPr>
                <w:sz w:val="20"/>
              </w:rPr>
              <w:t xml:space="preserve">уметь:</w:t>
            </w:r>
          </w:p>
          <w:p>
            <w:pPr>
              <w:pStyle w:val="0"/>
              <w:ind w:firstLine="283"/>
              <w:jc w:val="both"/>
            </w:pPr>
            <w:r>
              <w:rPr>
                <w:sz w:val="20"/>
              </w:rPr>
              <w:t xml:space="preserve">выбирать методы и средства поверки (регулировки) средств измерений;</w:t>
            </w:r>
          </w:p>
          <w:p>
            <w:pPr>
              <w:pStyle w:val="0"/>
              <w:ind w:firstLine="283"/>
              <w:jc w:val="both"/>
            </w:pPr>
            <w:r>
              <w:rPr>
                <w:sz w:val="20"/>
              </w:rPr>
              <w:t xml:space="preserve">выполнять поверку (регулировку) средств измерений с применением рабочих эталонов, средств поверки и калибровки в соответствии с методами поверки;</w:t>
            </w:r>
          </w:p>
          <w:p>
            <w:pPr>
              <w:pStyle w:val="0"/>
              <w:ind w:firstLine="283"/>
              <w:jc w:val="both"/>
            </w:pPr>
            <w:r>
              <w:rPr>
                <w:sz w:val="20"/>
              </w:rPr>
              <w:t xml:space="preserve">фиксировать результаты поверки (регулировки) средств измерений с учетом погрешности (неопределенности) результатов поверки (регулировки) для обеспечения единства измерений;</w:t>
            </w:r>
          </w:p>
          <w:p>
            <w:pPr>
              <w:pStyle w:val="0"/>
              <w:ind w:firstLine="283"/>
              <w:jc w:val="both"/>
            </w:pPr>
            <w:r>
              <w:rPr>
                <w:sz w:val="20"/>
              </w:rPr>
              <w:t xml:space="preserve">оценивать пригодность средств измерений на основании полученных результатов поверки (регулировки), с учетом рассчитанной погрешности (неопределенности) на предмет их соответствия рабочим эталонам;</w:t>
            </w:r>
          </w:p>
          <w:p>
            <w:pPr>
              <w:pStyle w:val="0"/>
              <w:ind w:firstLine="283"/>
              <w:jc w:val="both"/>
            </w:pPr>
            <w:r>
              <w:rPr>
                <w:sz w:val="20"/>
              </w:rPr>
              <w:t xml:space="preserve">оформлять результаты поверки (регулировки) средств измерений в соответствии с требованиями нормативной документации;</w:t>
            </w:r>
          </w:p>
          <w:p>
            <w:pPr>
              <w:pStyle w:val="0"/>
              <w:ind w:firstLine="283"/>
              <w:jc w:val="both"/>
            </w:pPr>
            <w:r>
              <w:rPr>
                <w:sz w:val="20"/>
              </w:rPr>
              <w:t xml:space="preserve">планировать различными методами и средствами проведение технического обслуживания и текущего ремонта средств измерений в соответствии с техническими требованиями;</w:t>
            </w:r>
          </w:p>
          <w:p>
            <w:pPr>
              <w:pStyle w:val="0"/>
              <w:ind w:firstLine="283"/>
              <w:jc w:val="both"/>
            </w:pPr>
            <w:r>
              <w:rPr>
                <w:sz w:val="20"/>
              </w:rPr>
              <w:t xml:space="preserve">выбирать необходимое оборудование и материалы для проведения технического обслуживания и текущего ремонта средств измерений в соответствии с техническими требованиями;</w:t>
            </w:r>
          </w:p>
          <w:p>
            <w:pPr>
              <w:pStyle w:val="0"/>
              <w:ind w:firstLine="283"/>
              <w:jc w:val="both"/>
            </w:pPr>
            <w:r>
              <w:rPr>
                <w:sz w:val="20"/>
              </w:rPr>
              <w:t xml:space="preserve">оформлять результаты технического обслуживания и диагностики средств измерений;</w:t>
            </w:r>
          </w:p>
          <w:p>
            <w:pPr>
              <w:pStyle w:val="0"/>
              <w:ind w:firstLine="283"/>
              <w:jc w:val="both"/>
            </w:pPr>
            <w:r>
              <w:rPr>
                <w:sz w:val="20"/>
              </w:rPr>
              <w:t xml:space="preserve">диагностировать техническое состояние средств измерений;</w:t>
            </w:r>
          </w:p>
          <w:p>
            <w:pPr>
              <w:pStyle w:val="0"/>
              <w:ind w:firstLine="283"/>
              <w:jc w:val="both"/>
            </w:pPr>
            <w:r>
              <w:rPr>
                <w:sz w:val="20"/>
              </w:rPr>
              <w:t xml:space="preserve">выявлять неисправности;</w:t>
            </w:r>
          </w:p>
          <w:p>
            <w:pPr>
              <w:pStyle w:val="0"/>
              <w:ind w:firstLine="283"/>
              <w:jc w:val="both"/>
            </w:pPr>
            <w:r>
              <w:rPr>
                <w:sz w:val="20"/>
              </w:rPr>
              <w:t xml:space="preserve">определять методы, способы, средства для устранения выявленных неисправностей средств измерений;</w:t>
            </w:r>
          </w:p>
          <w:p>
            <w:pPr>
              <w:pStyle w:val="0"/>
              <w:ind w:firstLine="283"/>
              <w:jc w:val="both"/>
            </w:pPr>
            <w:r>
              <w:rPr>
                <w:sz w:val="20"/>
              </w:rPr>
              <w:t xml:space="preserve">выбирать последовательность устранения и проводить ремонт выявленных неисправностей средств измерения в соответствии с определенными методами, способами устранения неисправностей средств измерений;</w:t>
            </w:r>
          </w:p>
        </w:tc>
      </w:tr>
      <w:tr>
        <w:tblPrEx>
          <w:tblBorders>
            <w:insideH w:val="nil"/>
          </w:tblBorders>
        </w:tblPrEx>
        <w:tc>
          <w:tcPr>
            <w:tcW w:w="2942" w:type="dxa"/>
            <w:tcBorders>
              <w:top w:val="nil"/>
            </w:tcBorders>
          </w:tcPr>
          <w:p>
            <w:pPr>
              <w:pStyle w:val="0"/>
            </w:pPr>
            <w:r>
              <w:rPr>
                <w:sz w:val="20"/>
              </w:rPr>
            </w:r>
          </w:p>
        </w:tc>
        <w:tc>
          <w:tcPr>
            <w:tcW w:w="6129" w:type="dxa"/>
            <w:tcBorders>
              <w:top w:val="nil"/>
            </w:tcBorders>
          </w:tcPr>
          <w:p>
            <w:pPr>
              <w:pStyle w:val="0"/>
              <w:ind w:firstLine="283"/>
              <w:jc w:val="both"/>
            </w:pPr>
            <w:r>
              <w:rPr>
                <w:sz w:val="20"/>
              </w:rPr>
              <w:t xml:space="preserve">проверять качество выполненного ремонта выявленных неисправностей средств измерений;</w:t>
            </w:r>
          </w:p>
          <w:p>
            <w:pPr>
              <w:pStyle w:val="0"/>
              <w:ind w:firstLine="283"/>
              <w:jc w:val="both"/>
            </w:pPr>
            <w:r>
              <w:rPr>
                <w:sz w:val="20"/>
              </w:rPr>
              <w:t xml:space="preserve">подготавливать оборудование к проведению измерений для определения действительных значений контролируемых параметров;</w:t>
            </w:r>
          </w:p>
          <w:p>
            <w:pPr>
              <w:pStyle w:val="0"/>
              <w:ind w:firstLine="283"/>
              <w:jc w:val="both"/>
            </w:pPr>
            <w:r>
              <w:rPr>
                <w:sz w:val="20"/>
              </w:rPr>
              <w:t xml:space="preserve">обрабатывать результаты измерений в соответствии с выбранной методикой;</w:t>
            </w:r>
          </w:p>
          <w:p>
            <w:pPr>
              <w:pStyle w:val="0"/>
              <w:ind w:firstLine="283"/>
              <w:jc w:val="both"/>
            </w:pPr>
            <w:r>
              <w:rPr>
                <w:sz w:val="20"/>
              </w:rPr>
              <w:t xml:space="preserve">рассчитывать погрешности (неопределенности) результатов измерений;</w:t>
            </w:r>
          </w:p>
          <w:p>
            <w:pPr>
              <w:pStyle w:val="0"/>
              <w:ind w:firstLine="283"/>
              <w:jc w:val="both"/>
            </w:pPr>
            <w:r>
              <w:rPr>
                <w:sz w:val="20"/>
              </w:rPr>
              <w:t xml:space="preserve">фиксировать результаты измерений в документации.</w:t>
            </w:r>
          </w:p>
          <w:p>
            <w:pPr>
              <w:pStyle w:val="0"/>
              <w:jc w:val="both"/>
            </w:pPr>
            <w:r>
              <w:rPr>
                <w:sz w:val="20"/>
              </w:rPr>
              <w:t xml:space="preserve">иметь практический опыт в:</w:t>
            </w:r>
          </w:p>
          <w:p>
            <w:pPr>
              <w:pStyle w:val="0"/>
              <w:ind w:firstLine="283"/>
              <w:jc w:val="both"/>
            </w:pPr>
            <w:r>
              <w:rPr>
                <w:sz w:val="20"/>
              </w:rPr>
              <w:t xml:space="preserve">проведении поверки (регулировки) средств измерений;</w:t>
            </w:r>
          </w:p>
          <w:p>
            <w:pPr>
              <w:pStyle w:val="0"/>
              <w:ind w:firstLine="283"/>
              <w:jc w:val="both"/>
            </w:pPr>
            <w:r>
              <w:rPr>
                <w:sz w:val="20"/>
              </w:rPr>
              <w:t xml:space="preserve">проведении технического обслуживания и текущего ремонта средств измерений;</w:t>
            </w:r>
          </w:p>
          <w:p>
            <w:pPr>
              <w:pStyle w:val="0"/>
              <w:ind w:firstLine="283"/>
              <w:jc w:val="both"/>
            </w:pPr>
            <w:r>
              <w:rPr>
                <w:sz w:val="20"/>
              </w:rPr>
              <w:t xml:space="preserve">выполнении точных и особо точных измерений для определения действительных значений контролируемых параметров.</w:t>
            </w:r>
          </w:p>
        </w:tc>
      </w:tr>
      <w:tr>
        <w:tc>
          <w:tcPr>
            <w:tcW w:w="2942" w:type="dxa"/>
          </w:tcPr>
          <w:p>
            <w:pPr>
              <w:pStyle w:val="0"/>
            </w:pPr>
            <w:r>
              <w:rPr>
                <w:sz w:val="20"/>
              </w:rPr>
              <w:t xml:space="preserve">Осуществление метрологического надзора за соблюдением правил и норм по обеспечению единства измерений на предприятии</w:t>
            </w:r>
          </w:p>
        </w:tc>
        <w:tc>
          <w:tcPr>
            <w:tcW w:w="6129" w:type="dxa"/>
          </w:tcPr>
          <w:p>
            <w:pPr>
              <w:pStyle w:val="0"/>
              <w:jc w:val="both"/>
            </w:pPr>
            <w:r>
              <w:rPr>
                <w:sz w:val="20"/>
              </w:rPr>
              <w:t xml:space="preserve">знать:</w:t>
            </w:r>
          </w:p>
          <w:p>
            <w:pPr>
              <w:pStyle w:val="0"/>
              <w:ind w:firstLine="283"/>
              <w:jc w:val="both"/>
            </w:pPr>
            <w:r>
              <w:rPr>
                <w:sz w:val="20"/>
              </w:rPr>
              <w:t xml:space="preserve">требования законодательства Российской Федерации, регламентирующие вопросы единства измерений и метрологического обеспечения;</w:t>
            </w:r>
          </w:p>
          <w:p>
            <w:pPr>
              <w:pStyle w:val="0"/>
              <w:ind w:firstLine="283"/>
              <w:jc w:val="both"/>
            </w:pPr>
            <w:r>
              <w:rPr>
                <w:sz w:val="20"/>
              </w:rPr>
              <w:t xml:space="preserve">требования нормативных и методических документов, регламентирующих вопросы метрологической экспертизы;</w:t>
            </w:r>
          </w:p>
          <w:p>
            <w:pPr>
              <w:pStyle w:val="0"/>
              <w:ind w:firstLine="283"/>
              <w:jc w:val="both"/>
            </w:pPr>
            <w:r>
              <w:rPr>
                <w:sz w:val="20"/>
              </w:rPr>
              <w:t xml:space="preserve">принципы нормирования точности измерений;</w:t>
            </w:r>
          </w:p>
          <w:p>
            <w:pPr>
              <w:pStyle w:val="0"/>
              <w:ind w:firstLine="283"/>
              <w:jc w:val="both"/>
            </w:pPr>
            <w:r>
              <w:rPr>
                <w:sz w:val="20"/>
              </w:rPr>
              <w:t xml:space="preserve">принципы работы, технические характеристики, конструктивные особенности, назначение и принципы применения средств измерений;</w:t>
            </w:r>
          </w:p>
          <w:p>
            <w:pPr>
              <w:pStyle w:val="0"/>
              <w:ind w:firstLine="283"/>
              <w:jc w:val="both"/>
            </w:pPr>
            <w:r>
              <w:rPr>
                <w:sz w:val="20"/>
              </w:rPr>
              <w:t xml:space="preserve">порядок проведения метрологической экспертизы;</w:t>
            </w:r>
          </w:p>
          <w:p>
            <w:pPr>
              <w:pStyle w:val="0"/>
              <w:ind w:firstLine="283"/>
              <w:jc w:val="both"/>
            </w:pPr>
            <w:r>
              <w:rPr>
                <w:sz w:val="20"/>
              </w:rPr>
              <w:t xml:space="preserve">виды поверок/калибровок;</w:t>
            </w:r>
          </w:p>
          <w:p>
            <w:pPr>
              <w:pStyle w:val="0"/>
              <w:ind w:firstLine="283"/>
              <w:jc w:val="both"/>
            </w:pPr>
            <w:r>
              <w:rPr>
                <w:sz w:val="20"/>
              </w:rPr>
              <w:t xml:space="preserve">правила проведения внеочередной поверки/калибровки.</w:t>
            </w:r>
          </w:p>
          <w:p>
            <w:pPr>
              <w:pStyle w:val="0"/>
              <w:jc w:val="both"/>
            </w:pPr>
            <w:r>
              <w:rPr>
                <w:sz w:val="20"/>
              </w:rPr>
              <w:t xml:space="preserve">уметь:</w:t>
            </w:r>
          </w:p>
          <w:p>
            <w:pPr>
              <w:pStyle w:val="0"/>
              <w:ind w:firstLine="283"/>
              <w:jc w:val="both"/>
            </w:pPr>
            <w:r>
              <w:rPr>
                <w:sz w:val="20"/>
              </w:rPr>
              <w:t xml:space="preserve">планировать проведение метрологической экспертизы технической документации предприятия;</w:t>
            </w:r>
          </w:p>
          <w:p>
            <w:pPr>
              <w:pStyle w:val="0"/>
              <w:ind w:firstLine="283"/>
              <w:jc w:val="both"/>
            </w:pPr>
            <w:r>
              <w:rPr>
                <w:sz w:val="20"/>
              </w:rPr>
              <w:t xml:space="preserve">выбирать методы проведения метрологической экспертизы технической документации;</w:t>
            </w:r>
          </w:p>
          <w:p>
            <w:pPr>
              <w:pStyle w:val="0"/>
              <w:ind w:firstLine="283"/>
              <w:jc w:val="both"/>
            </w:pPr>
            <w:r>
              <w:rPr>
                <w:sz w:val="20"/>
              </w:rPr>
              <w:t xml:space="preserve">выбирать критерии оценки технической документации;</w:t>
            </w:r>
          </w:p>
          <w:p>
            <w:pPr>
              <w:pStyle w:val="0"/>
              <w:ind w:firstLine="283"/>
              <w:jc w:val="both"/>
            </w:pPr>
            <w:r>
              <w:rPr>
                <w:sz w:val="20"/>
              </w:rPr>
              <w:t xml:space="preserve">оценивать техническую документацию с учетом выбранных критериев оценки технической документации;</w:t>
            </w:r>
          </w:p>
          <w:p>
            <w:pPr>
              <w:pStyle w:val="0"/>
              <w:ind w:firstLine="283"/>
              <w:jc w:val="both"/>
            </w:pPr>
            <w:r>
              <w:rPr>
                <w:sz w:val="20"/>
              </w:rPr>
              <w:t xml:space="preserve">определять соответствие результатов экспертизы нормативным документам и технологической документации;</w:t>
            </w:r>
          </w:p>
          <w:p>
            <w:pPr>
              <w:pStyle w:val="0"/>
              <w:ind w:firstLine="283"/>
              <w:jc w:val="both"/>
            </w:pPr>
            <w:r>
              <w:rPr>
                <w:sz w:val="20"/>
              </w:rPr>
              <w:t xml:space="preserve">оформлять результаты метрологической экспертизы технической документации предприятия;</w:t>
            </w:r>
          </w:p>
          <w:p>
            <w:pPr>
              <w:pStyle w:val="0"/>
              <w:ind w:firstLine="283"/>
              <w:jc w:val="both"/>
            </w:pPr>
            <w:r>
              <w:rPr>
                <w:sz w:val="20"/>
              </w:rPr>
              <w:t xml:space="preserve">подготавливать графики и выборки контроля за хранением средств измерительной техники.</w:t>
            </w:r>
          </w:p>
          <w:p>
            <w:pPr>
              <w:pStyle w:val="0"/>
              <w:jc w:val="both"/>
            </w:pPr>
            <w:r>
              <w:rPr>
                <w:sz w:val="20"/>
              </w:rPr>
              <w:t xml:space="preserve">иметь практический опыт в:</w:t>
            </w:r>
          </w:p>
          <w:p>
            <w:pPr>
              <w:pStyle w:val="0"/>
              <w:ind w:firstLine="283"/>
              <w:jc w:val="both"/>
            </w:pPr>
            <w:r>
              <w:rPr>
                <w:sz w:val="20"/>
              </w:rPr>
              <w:t xml:space="preserve">проведении метрологической экспертизы технической документации предприятия в пределах установленных полномочий;</w:t>
            </w:r>
          </w:p>
          <w:p>
            <w:pPr>
              <w:pStyle w:val="0"/>
              <w:ind w:firstLine="283"/>
              <w:jc w:val="both"/>
            </w:pPr>
            <w:r>
              <w:rPr>
                <w:sz w:val="20"/>
              </w:rPr>
              <w:t xml:space="preserve">ведении метрологического учета средств измерений, испытаний и контроля.</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1570</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29E1E3BD7932A3A5A8F32B2F0C4FBE942AE9D76255E292C0209D5CC8E5AD3110CCD34BFB9DE8FE60B681E0C5906F8974A66EE6952F30E5651k0N" TargetMode = "External"/>
	<Relationship Id="rId8" Type="http://schemas.openxmlformats.org/officeDocument/2006/relationships/hyperlink" Target="consultantplus://offline/ref=C29E1E3BD7932A3A5A8F32B2F0C4FBE945AB91782350292C0209D5CC8E5AD3110CCD34BFB9DA8CE708681E0C5906F8974A66EE6952F30E5651k0N" TargetMode = "External"/>
	<Relationship Id="rId9" Type="http://schemas.openxmlformats.org/officeDocument/2006/relationships/hyperlink" Target="consultantplus://offline/ref=C29E1E3BD7932A3A5A8F32B2F0C4FBE943A19E782051292C0209D5CC8E5AD3110CCD34BFB9DE8BE40A681E0C5906F8974A66EE6952F30E5651k0N" TargetMode = "External"/>
	<Relationship Id="rId10" Type="http://schemas.openxmlformats.org/officeDocument/2006/relationships/hyperlink" Target="consultantplus://offline/ref=C29E1E3BD7932A3A5A8F32B2F0C4FBE940AE9F7E2059292C0209D5CC8E5AD3110CCD34BFB9DE8BE20F681E0C5906F8974A66EE6952F30E5651k0N" TargetMode = "External"/>
	<Relationship Id="rId11" Type="http://schemas.openxmlformats.org/officeDocument/2006/relationships/hyperlink" Target="consultantplus://offline/ref=C29E1E3BD7932A3A5A8F32B2F0C4FBE942AE9D76255E292C0209D5CC8E5AD3110CCD34BFB9DE8FE60B681E0C5906F8974A66EE6952F30E5651k0N" TargetMode = "External"/>
	<Relationship Id="rId12" Type="http://schemas.openxmlformats.org/officeDocument/2006/relationships/hyperlink" Target="consultantplus://offline/ref=C29E1E3BD7932A3A5A8F32B2F0C4FBE945AB91782350292C0209D5CC8E5AD3110CCD34BFB9DA8CE708681E0C5906F8974A66EE6952F30E5651k0N" TargetMode = "External"/>
	<Relationship Id="rId13" Type="http://schemas.openxmlformats.org/officeDocument/2006/relationships/hyperlink" Target="consultantplus://offline/ref=C29E1E3BD7932A3A5A8F32B2F0C4FBE943A89D792359292C0209D5CC8E5AD3111ECD6CB3B8D895E10A7D485D1F55k1N" TargetMode = "External"/>
	<Relationship Id="rId14" Type="http://schemas.openxmlformats.org/officeDocument/2006/relationships/hyperlink" Target="consultantplus://offline/ref=C29E1E3BD7932A3A5A8F32B2F0C4FBE942AE9D76255E292C0209D5CC8E5AD3110CCD34BFB9DE8FE60C681E0C5906F8974A66EE6952F30E5651k0N" TargetMode = "External"/>
	<Relationship Id="rId15" Type="http://schemas.openxmlformats.org/officeDocument/2006/relationships/hyperlink" Target="consultantplus://offline/ref=C29E1E3BD7932A3A5A8F32B2F0C4FBE945AA9A7A225F292C0209D5CC8E5AD3110CCD34BFB9DE89E401681E0C5906F8974A66EE6952F30E5651k0N" TargetMode = "External"/>
	<Relationship Id="rId16" Type="http://schemas.openxmlformats.org/officeDocument/2006/relationships/hyperlink" Target="consultantplus://offline/ref=C29E1E3BD7932A3A5A8F32B2F0C4FBE942AE9E79205B292C0209D5CC8E5AD3110CCD34BFB9DE82E60B681E0C5906F8974A66EE6952F30E5651k0N" TargetMode = "External"/>
	<Relationship Id="rId17" Type="http://schemas.openxmlformats.org/officeDocument/2006/relationships/hyperlink" Target="consultantplus://offline/ref=C29E1E3BD7932A3A5A8F32B2F0C4FBE942AE9D76255E292C0209D5CC8E5AD3110CCD34BFB9DE8FE60D681E0C5906F8974A66EE6952F30E5651k0N" TargetMode = "External"/>
	<Relationship Id="rId18" Type="http://schemas.openxmlformats.org/officeDocument/2006/relationships/hyperlink" Target="consultantplus://offline/ref=C29E1E3BD7932A3A5A8F32B2F0C4FBE945AB91782350292C0209D5CC8E5AD3110CCD34BFB9DA8CE709681E0C5906F8974A66EE6952F30E5651k0N" TargetMode = "External"/>
	<Relationship Id="rId19" Type="http://schemas.openxmlformats.org/officeDocument/2006/relationships/hyperlink" Target="consultantplus://offline/ref=C29E1E3BD7932A3A5A8F32B2F0C4FBE945A898772259292C0209D5CC8E5AD3110CCD34BFB9DE8BE308681E0C5906F8974A66EE6952F30E5651k0N" TargetMode = "External"/>
	<Relationship Id="rId20" Type="http://schemas.openxmlformats.org/officeDocument/2006/relationships/hyperlink" Target="consultantplus://offline/ref=C29E1E3BD7932A3A5A8F32B2F0C4FBE945AB91782350292C0209D5CC8E5AD3110CCD34BFB9DA8CE70B681E0C5906F8974A66EE6952F30E5651k0N" TargetMode = "External"/>
	<Relationship Id="rId21" Type="http://schemas.openxmlformats.org/officeDocument/2006/relationships/hyperlink" Target="consultantplus://offline/ref=C29E1E3BD7932A3A5A8F32B2F0C4FBE942AE9D76255E292C0209D5CC8E5AD3110CCD34BFB9DE8FE60F681E0C5906F8974A66EE6952F30E5651k0N" TargetMode = "External"/>
	<Relationship Id="rId22" Type="http://schemas.openxmlformats.org/officeDocument/2006/relationships/hyperlink" Target="consultantplus://offline/ref=C29E1E3BD7932A3A5A8F32B2F0C4FBE945AB91782350292C0209D5CC8E5AD3110CCD34BFB9DA8CE70D681E0C5906F8974A66EE6952F30E5651k0N" TargetMode = "External"/>
	<Relationship Id="rId23" Type="http://schemas.openxmlformats.org/officeDocument/2006/relationships/hyperlink" Target="consultantplus://offline/ref=C29E1E3BD7932A3A5A8F32B2F0C4FBE945AB91782350292C0209D5CC8E5AD3110CCD34BFB9DA8CE70F681E0C5906F8974A66EE6952F30E5651k0N" TargetMode = "External"/>
	<Relationship Id="rId24" Type="http://schemas.openxmlformats.org/officeDocument/2006/relationships/hyperlink" Target="consultantplus://offline/ref=C29E1E3BD7932A3A5A8F32B2F0C4FBE945AA9A7A225F292C0209D5CC8E5AD3111ECD6CB3B8D895E10A7D485D1F55k1N" TargetMode = "External"/>
	<Relationship Id="rId25" Type="http://schemas.openxmlformats.org/officeDocument/2006/relationships/hyperlink" Target="consultantplus://offline/ref=C29E1E3BD7932A3A5A8F32B2F0C4FBE945AB91782350292C0209D5CC8E5AD3110CCD34BFB9DA8CE800681E0C5906F8974A66EE6952F30E5651k0N" TargetMode = "External"/>
	<Relationship Id="rId26" Type="http://schemas.openxmlformats.org/officeDocument/2006/relationships/hyperlink" Target="consultantplus://offline/ref=C29E1E3BD7932A3A5A8F32B2F0C4FBE945AA98762951292C0209D5CC8E5AD3111ECD6CB3B8D895E10A7D485D1F55k1N" TargetMode = "External"/>
	<Relationship Id="rId27" Type="http://schemas.openxmlformats.org/officeDocument/2006/relationships/hyperlink" Target="consultantplus://offline/ref=C29E1E3BD7932A3A5A8F32B2F0C4FBE942A19076235A292C0209D5CC8E5AD3110CCD34BFB9DE8BE10A681E0C5906F8974A66EE6952F30E5651k0N" TargetMode = "External"/>
	<Relationship Id="rId28" Type="http://schemas.openxmlformats.org/officeDocument/2006/relationships/hyperlink" Target="consultantplus://offline/ref=C29E1E3BD7932A3A5A8F32B2F0C4FBE942A19076235A292C0209D5CC8E5AD3110CCD34BFB9DF8EE601681E0C5906F8974A66EE6952F30E5651k0N" TargetMode = "External"/>
	<Relationship Id="rId29" Type="http://schemas.openxmlformats.org/officeDocument/2006/relationships/hyperlink" Target="consultantplus://offline/ref=C29E1E3BD7932A3A5A8F32B2F0C4FBE942A19076235A292C0209D5CC8E5AD3110CCD34BFB9DF8DE10F681E0C5906F8974A66EE6952F30E5651k0N" TargetMode = "External"/>
	<Relationship Id="rId30" Type="http://schemas.openxmlformats.org/officeDocument/2006/relationships/hyperlink" Target="consultantplus://offline/ref=C29E1E3BD7932A3A5A8F32B2F0C4FBE942A19076235A292C0209D5CC8E5AD3110CCD34BFB8D682E800681E0C5906F8974A66EE6952F30E5651k0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1570
(ред. от 01.09.2022)
"Об утверждении федерального государственного образовательного стандарта среднего профессионального образования по специальности 27.02.06 Контроль работы измерительных приборов"
(Зарегистрировано в Минюсте России 23.12.2016 N 44910)</dc:title>
  <dcterms:created xsi:type="dcterms:W3CDTF">2022-12-16T13:36:57Z</dcterms:created>
</cp:coreProperties>
</file>