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712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111201.01 Пчеловод"</w:t>
              <w:br/>
              <w:t xml:space="preserve">(Зарегистрировано в Минюсте России 20.08.2013 N 29649)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111201.01 ПЧЕЛОВОД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111201.01 Пчеловод.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2.10.2009 N 45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201.01 Пчеловод&quot; (Зарегистрировано в Минюсте РФ 10.12.2009 N 1551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октября 2009 г. N 453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111201.01 Пчеловод" (зарегистрирован Министерством юстиции Российской Федерации 10 декабря 2009 г., регистрационный N 15519).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712</w:t>
      </w:r>
    </w:p>
    <w:p>
      <w:pPr>
        <w:pStyle w:val="0"/>
        <w:jc w:val="center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111201.01 ПЧЕЛОВОД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111201.01 Пчеловод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111201.01 Пчеловод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подготовки,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111201.01 Пчеловод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58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58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92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пчеловод;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водитель автомобиля;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обеспечению продуктивной жизнедеятельности пчелиных семей и первичной переработке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пчелиные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пчелофермы и пасеки различной специализации;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мед, воск и другие продукты пчеловодства;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ульи разных систем, инвентарь и оборудование пасечного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растения медоносных угодий и растениеводческих хозяйств;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вредители и болезни пчел;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автомобили категории "C";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тракторы и мототранспортные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и переработки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111201.01 Пчеловод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по содержанию пчелиных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производству и переработке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Селекционно-племенная работа с пчелами.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опылению растений (в т.ч. культур защищенного грунта).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Эксплуатация и техническое обслуживание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Транспортировка грузов.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по содержанию пчелиных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Содержать пчел в ульях разных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круглогодичный уход за пчелами на пасеках различной специализации.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под руководством ветеринарного специалиста профилактические мероприятия по борьбе с болезнями и вредителями пчел.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ремонтные работы на пчелоферме и пасеке.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производству и переработке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кормовой баланс и составлять медовый баланс пчелофермы и пасеки.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отбор сотов из ульев и их распечатывание, производить откачку, очистку меда и переработку воскосырья.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Производить, перерабатывать и хранить дополнительную продукцию пчеловодства: маточное молочко, прополис, цветочную пыльцу.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Производить продукцию пчеловодства с применением методов промышленного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контроль качества получаемой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учет на пчелоферме и пасеке.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Селекционно-племенная работа с пчелами.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Создавать племенные ядра и осуществлять выбраковку малопродуктивных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Выводить пчелиных маток.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Формировать нуклеусы для спаривания пчелиных маток.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подсадку маток в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пересылку маток.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опылению растений (в т.ч. культур защищенного грунта).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работы по опылению сельскохозяйственных культур пчелами.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Приучать пчел к опыляемым культурам.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Содержать и кормить пчелиные семьи в теплицах и на резервной пасеке.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учет и отчетность по тепличному пчеловодству и резервной пасеке.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Эксплуатация и техническое обслуживание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Управлять тракторами в организациях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работы по техническому обслуживанию тракторов.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Выполнять работы по транспортировке грузов в прицепе трактора.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Транспортировка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Управлять автомобилями категории "C".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Выполнять работы по транспортировке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Осуществлять техническое обслуживание транспортных средств в пути 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Устранять мелкие неисправности, возникающие во время эксплуатации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Работать с документацией установленной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6.6. Проводить первоочередные мероприятия на месте дорожно-транспортного происшествия.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4"/>
        <w:gridCol w:w="4478"/>
        <w:gridCol w:w="1891"/>
        <w:gridCol w:w="1752"/>
      </w:tblGrid>
      <w:tr>
        <w:tc>
          <w:tcPr>
            <w:gridSpan w:val="2"/>
            <w:tcW w:w="53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3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</w:tr>
      <w:tr>
        <w:tc>
          <w:tcPr>
            <w:gridSpan w:val="2"/>
            <w:tcW w:w="533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8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7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7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</w:tr>
      <w:tr>
        <w:tc>
          <w:tcPr>
            <w:tcW w:w="8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  <w:t xml:space="preserve">ГИА</w:t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533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9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Биология пчелы медоносной и пчелиной семьи", "ОП.02. Основы микробиологии, ветеринарной санитарии и зоогигиены", "ОП.03. Экономические и правовые основы пчеловодства", "ОП.04. Экологические основы природопользования", "ОП.05.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"ПМ.01. Выполнение работ по содержанию и разведению пчелиных семей", "МДК.01.01. Технологии содержания и разведения пчелиных семей", "МДК.01.02. Пчеловодный инвентарь и пасечное оборудование", "МДК.01.03. Болезни и вредители пчел и методы борьбы с ними", "ПМ.02. Выполнение работ по производству и переработке продукции пчеловодства", "МДК.02.01. Технология производства и стандартизация продуктов пчеловодства", "ПМ.03. Селекционно-племенная работа с пчелами", "МДК.03.01. Теоретические основы селекционно-племенной работы с пчелами", "ПМ.04. Выполнение работ по опылению энтомофильных растений (в том числе культур защищенного грунта)", "МДК.04.01. Опыление энтомофильных культур открытого и защищенного грунта", "ПМ.05. Эксплуатация и техническое обслуживание тракторов", "МДК.05.01. Технологии эксплуатации и технического обслуживания тракторов", "ПМ.06. Транспортировка грузов", "МДК.06.01. Теоретическая подготовка водителей автомобилей категории "C".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3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биологии пчелы медоносной и пчелиной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транспортным средством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ветеринарной санитарии и зоогигиены;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медоносных ресурсов и опыления сельскохозяйственных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разведения и содержания пчелиных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болезней и вредителей пчел;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пчеловодного инвентаря и пасечного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 и электрификации в пчеловодстве;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и стандартизации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выработки навыков и совершенствования техники управления транспортным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пасека;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автодром, трактородром;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гараж с учебными автомобилями категории "C".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712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DDB28FB65B337DA3BA3EC32FA5DBE15DB1C7173A00072D8A53389368C2603830A869896049DEBEC94671712D8127046A32D939EDA7940F4U348P" TargetMode = "External"/>
	<Relationship Id="rId8" Type="http://schemas.openxmlformats.org/officeDocument/2006/relationships/hyperlink" Target="consultantplus://offline/ref=FDDB28FB65B337DA3BA3EC32FA5DBE15DB117F70A60372D8A53389368C2603830A869896049CEEEC93671712D8127046A32D939EDA7940F4U348P" TargetMode = "External"/>
	<Relationship Id="rId9" Type="http://schemas.openxmlformats.org/officeDocument/2006/relationships/hyperlink" Target="consultantplus://offline/ref=FDDB28FB65B337DA3BA3EC32FA5DBE15DC1A7F76A50872D8A53389368C2603830A869896049CEEEF91671712D8127046A32D939EDA7940F4U348P" TargetMode = "External"/>
	<Relationship Id="rId10" Type="http://schemas.openxmlformats.org/officeDocument/2006/relationships/hyperlink" Target="consultantplus://offline/ref=FDDB28FB65B337DA3BA3EC32FA5DBE15D11D7770AE0A2FD2AD6A85348B295C860D9798960282EDEA8A6E4341U94EP" TargetMode = "External"/>
	<Relationship Id="rId11" Type="http://schemas.openxmlformats.org/officeDocument/2006/relationships/hyperlink" Target="consultantplus://offline/ref=FDDB28FB65B337DA3BA3EC32FA5DBE15DB1C7173A00072D8A53389368C2603830A869896049DEBEC94671712D8127046A32D939EDA7940F4U348P" TargetMode = "External"/>
	<Relationship Id="rId12" Type="http://schemas.openxmlformats.org/officeDocument/2006/relationships/hyperlink" Target="consultantplus://offline/ref=FDDB28FB65B337DA3BA3EC32FA5DBE15DB117F70A60372D8A53389368C2603830A869896049CEEEC93671712D8127046A32D939EDA7940F4U348P" TargetMode = "External"/>
	<Relationship Id="rId13" Type="http://schemas.openxmlformats.org/officeDocument/2006/relationships/hyperlink" Target="consultantplus://offline/ref=FDDB28FB65B337DA3BA3EC32FA5DBE15DC1A7F76A50872D8A53389368C2603830A869896049CEEEF91671712D8127046A32D939EDA7940F4U348P" TargetMode = "External"/>
	<Relationship Id="rId14" Type="http://schemas.openxmlformats.org/officeDocument/2006/relationships/hyperlink" Target="consultantplus://offline/ref=FDDB28FB65B337DA3BA3EC32FA5DBE15DC1B7474A40772D8A53389368C2603830A869896049CEEED93671712D8127046A32D939EDA7940F4U348P" TargetMode = "External"/>
	<Relationship Id="rId15" Type="http://schemas.openxmlformats.org/officeDocument/2006/relationships/hyperlink" Target="consultantplus://offline/ref=FDDB28FB65B337DA3BA3EC32FA5DBE15DB117F70A60372D8A53389368C2603830A869896049CEEEC9C671712D8127046A32D939EDA7940F4U348P" TargetMode = "External"/>
	<Relationship Id="rId16" Type="http://schemas.openxmlformats.org/officeDocument/2006/relationships/hyperlink" Target="consultantplus://offline/ref=FDDB28FB65B337DA3BA3EC32FA5DBE15DB117F70A60372D8A53389368C2603830A869896049CEEED94671712D8127046A32D939EDA7940F4U348P" TargetMode = "External"/>
	<Relationship Id="rId17" Type="http://schemas.openxmlformats.org/officeDocument/2006/relationships/hyperlink" Target="consultantplus://offline/ref=FDDB28FB65B337DA3BA3EC32FA5DBE15D91B7279AE0772D8A53389368C2603830A869896049CECE994671712D8127046A32D939EDA7940F4U348P" TargetMode = "External"/>
	<Relationship Id="rId18" Type="http://schemas.openxmlformats.org/officeDocument/2006/relationships/hyperlink" Target="consultantplus://offline/ref=FDDB28FB65B337DA3BA3EC32FA5DBE15DB1C7173A00072D8A53389368C2603830A869896049DEBEC95671712D8127046A32D939EDA7940F4U348P" TargetMode = "External"/>
	<Relationship Id="rId19" Type="http://schemas.openxmlformats.org/officeDocument/2006/relationships/hyperlink" Target="consultantplus://offline/ref=FDDB28FB65B337DA3BA3EC32FA5DBE15DC1A7F76A50872D8A53389368C2603830A869896049CEEEF92671712D8127046A32D939EDA7940F4U348P" TargetMode = "External"/>
	<Relationship Id="rId20" Type="http://schemas.openxmlformats.org/officeDocument/2006/relationships/hyperlink" Target="consultantplus://offline/ref=FDDB28FB65B337DA3BA3EC32FA5DBE15D91B7279AE0772D8A53389368C2603830A869896049CECE994671712D8127046A32D939EDA7940F4U348P" TargetMode = "External"/>
	<Relationship Id="rId21" Type="http://schemas.openxmlformats.org/officeDocument/2006/relationships/hyperlink" Target="consultantplus://offline/ref=FDDB28FB65B337DA3BA3EC32FA5DBE15DC1A7F76A50872D8A53389368C2603830A869896049CEEE09C671712D8127046A32D939EDA7940F4U348P" TargetMode = "External"/>
	<Relationship Id="rId22" Type="http://schemas.openxmlformats.org/officeDocument/2006/relationships/hyperlink" Target="consultantplus://offline/ref=FDDB28FB65B337DA3BA3EC32FA5DBE15DC1A7F76A50872D8A53389368C2603830A869896049CEEE19D671712D8127046A32D939EDA7940F4U348P" TargetMode = "External"/>
	<Relationship Id="rId23" Type="http://schemas.openxmlformats.org/officeDocument/2006/relationships/hyperlink" Target="consultantplus://offline/ref=FDDB28FB65B337DA3BA3EC32FA5DBE15DC1A7F76A50872D8A53389368C2603830A869896049CEFEC91671712D8127046A32D939EDA7940F4U348P" TargetMode = "External"/>
	<Relationship Id="rId24" Type="http://schemas.openxmlformats.org/officeDocument/2006/relationships/hyperlink" Target="consultantplus://offline/ref=FDDB28FB65B337DA3BA3EC32FA5DBE15DC1A7F76A50872D8A53389368C2603830A869896049CEFEC92671712D8127046A32D939EDA7940F4U348P" TargetMode = "External"/>
	<Relationship Id="rId25" Type="http://schemas.openxmlformats.org/officeDocument/2006/relationships/hyperlink" Target="consultantplus://offline/ref=FDDB28FB65B337DA3BA3EC32FA5DBE15DC1A7F76A50872D8A53389368C2603830A869896049CEFEC9C671712D8127046A32D939EDA7940F4U348P" TargetMode = "External"/>
	<Relationship Id="rId26" Type="http://schemas.openxmlformats.org/officeDocument/2006/relationships/hyperlink" Target="consultantplus://offline/ref=FDDB28FB65B337DA3BA3EC32FA5DBE15D91B7279AE0772D8A53389368C2603830A869896049CECE994671712D8127046A32D939EDA7940F4U348P" TargetMode = "External"/>
	<Relationship Id="rId27" Type="http://schemas.openxmlformats.org/officeDocument/2006/relationships/hyperlink" Target="consultantplus://offline/ref=FDDB28FB65B337DA3BA3EC32FA5DBE15DB1C7173A00072D8A53389368C2603830A869896049DEBEF91671712D8127046A32D939EDA7940F4U348P" TargetMode = "External"/>
	<Relationship Id="rId28" Type="http://schemas.openxmlformats.org/officeDocument/2006/relationships/hyperlink" Target="consultantplus://offline/ref=FDDB28FB65B337DA3BA3EC32FA5DBE15DC1B7474A40772D8A53389368C2603831886C09A059AF2E9967241439EU445P" TargetMode = "External"/>
	<Relationship Id="rId29" Type="http://schemas.openxmlformats.org/officeDocument/2006/relationships/hyperlink" Target="consultantplus://offline/ref=FDDB28FB65B337DA3BA3EC32FA5DBE15DC1A7F76A50872D8A53389368C2603830A869896049CEFEC9D671712D8127046A32D939EDA7940F4U348P" TargetMode = "External"/>
	<Relationship Id="rId30" Type="http://schemas.openxmlformats.org/officeDocument/2006/relationships/hyperlink" Target="consultantplus://offline/ref=FDDB28FB65B337DA3BA3EC32FA5DBE15DC1A7574A40372D8A53389368C2603830A8698940D9CE7BCC528164E9D416346A72D909CC6U749P" TargetMode = "External"/>
	<Relationship Id="rId31" Type="http://schemas.openxmlformats.org/officeDocument/2006/relationships/hyperlink" Target="consultantplus://offline/ref=FDDB28FB65B337DA3BA3EC32FA5DBE15DC1B7474A40772D8A53389368C2603831886C09A059AF2E9967241439EU445P" TargetMode = "External"/>
	<Relationship Id="rId32" Type="http://schemas.openxmlformats.org/officeDocument/2006/relationships/hyperlink" Target="consultantplus://offline/ref=FDDB28FB65B337DA3BA3EC32FA5DBE15DC1A7F76A50872D8A53389368C2603830A869896049CEFED95671712D8127046A32D939EDA7940F4U348P" TargetMode = "External"/>
	<Relationship Id="rId33" Type="http://schemas.openxmlformats.org/officeDocument/2006/relationships/hyperlink" Target="consultantplus://offline/ref=FDDB28FB65B337DA3BA3EC32FA5DBE15DC1B7678AF0972D8A53389368C2603831886C09A059AF2E9967241439EU445P" TargetMode = "External"/>
	<Relationship Id="rId34" Type="http://schemas.openxmlformats.org/officeDocument/2006/relationships/hyperlink" Target="consultantplus://offline/ref=FDDB28FB65B337DA3BA3EC32FA5DBE15DB117F70A60372D8A53389368C2603830A869896049CEEED95671712D8127046A32D939EDA7940F4U348P" TargetMode = "External"/>
	<Relationship Id="rId35" Type="http://schemas.openxmlformats.org/officeDocument/2006/relationships/hyperlink" Target="consultantplus://offline/ref=FDDB28FB65B337DA3BA3EC32FA5DBE15DC1A7F76A50872D8A53389368C2603830A869896049CEFED9C671712D8127046A32D939EDA7940F4U348P" TargetMode = "External"/>
	<Relationship Id="rId36" Type="http://schemas.openxmlformats.org/officeDocument/2006/relationships/hyperlink" Target="consultantplus://offline/ref=FDDB28FB65B337DA3BA3EC32FA5DBE15DC1A7F76A50872D8A53389368C2603830A869896049CEFED9C671712D8127046A32D939EDA7940F4U348P" TargetMode = "External"/>
	<Relationship Id="rId37" Type="http://schemas.openxmlformats.org/officeDocument/2006/relationships/hyperlink" Target="consultantplus://offline/ref=FDDB28FB65B337DA3BA3EC32FA5DBE15DC1B7474A40772D8A53389368C2603830A869896049CE4E897671712D8127046A32D939EDA7940F4U348P" TargetMode = "External"/>
	<Relationship Id="rId38" Type="http://schemas.openxmlformats.org/officeDocument/2006/relationships/hyperlink" Target="consultantplus://offline/ref=FDDB28FB65B337DA3BA3EC32FA5DBE15DC1A7F76A50872D8A53389368C2603830A869896049CEFED9D671712D8127046A32D939EDA7940F4U348P" TargetMode = "External"/>
	<Relationship Id="rId39" Type="http://schemas.openxmlformats.org/officeDocument/2006/relationships/hyperlink" Target="consultantplus://offline/ref=FDDB28FB65B337DA3BA3EC32FA5DBE15DC1B7474A40772D8A53389368C2603830A869896049CE5E996671712D8127046A32D939EDA7940F4U348P" TargetMode = "External"/>
	<Relationship Id="rId40" Type="http://schemas.openxmlformats.org/officeDocument/2006/relationships/hyperlink" Target="consultantplus://offline/ref=FDDB28FB65B337DA3BA3EC32FA5DBE15DC1A7F76A50872D8A53389368C2603830A869896049CEFED9C671712D8127046A32D939EDA7940F4U348P" TargetMode = "External"/>
	<Relationship Id="rId41" Type="http://schemas.openxmlformats.org/officeDocument/2006/relationships/hyperlink" Target="consultantplus://offline/ref=FDDB28FB65B337DA3BA3EC32FA5DBE15DC1A7F76A50872D8A53389368C2603830A869896049CEFED9C671712D8127046A32D939EDA7940F4U348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712
(ред. от 01.09.2022)
"Об утверждении федерального государственного образовательного стандарта среднего профессионального образования по профессии 111201.01 Пчеловод"
(Зарегистрировано в Минюсте России 20.08.2013 N 29649)</dc:title>
  <dcterms:created xsi:type="dcterms:W3CDTF">2022-12-16T15:56:19Z</dcterms:created>
</cp:coreProperties>
</file>