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02.08.2013 N 681</w:t>
              <w:br/>
              <w:t xml:space="preserve">(ред. от 13.07.2021)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профессии 072200.01 Лепщик-модельщик архитектурных деталей"</w:t>
              <w:br/>
              <w:t xml:space="preserve">(Зарегистрировано в Минюсте России 20.08.2013 N 29568)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20 августа 2013 г. N 29568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 августа 2013 г. N 681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072200.01 ЛЕПЩИК-МОДЕЛЬЩИК АРХИТЕКТУРНЫХ ДЕТАЛЕЙ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389,</w:t>
            </w:r>
          </w:p>
          <w:p>
            <w:pPr>
              <w:pStyle w:val="0"/>
              <w:jc w:val="center"/>
            </w:pPr>
            <w:hyperlink w:history="0" r:id="rId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6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профессии 072200.01 Лепщик-модельщик архитектурных деталей.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Ф от 26.04.2010 N 439 &quot;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072200.01 Лепщик-модельщик архитектурных деталей&quot; (Зарегистрировано в Минюсте РФ 01.06.2010 N 17422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26 апреля 2010 г. N 439 "Об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072200.01 Лепщик-модельщик архитектурных деталей" (зарегистрирован Министерством юстиции Российской Федерации 1 июня 2010 г., регистрационный N 17422).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2013 года.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 августа 2013 г. N 681</w:t>
      </w:r>
    </w:p>
    <w:p>
      <w:pPr>
        <w:pStyle w:val="0"/>
        <w:jc w:val="center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072200.01 ЛЕПЩИК-МОДЕЛЬЩИК АРХИТЕКТУРНЫХ ДЕТАЛЕЙ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389,</w:t>
            </w:r>
          </w:p>
          <w:p>
            <w:pPr>
              <w:pStyle w:val="0"/>
              <w:jc w:val="center"/>
            </w:pPr>
            <w:hyperlink w:history="0" r:id="rId11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профессии 072200.01 Лепщик-модельщик архитектурных деталей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квалифицированных рабочих, служащих по данной профессии,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квалифицированных рабочих, служащих по профессии 072200.01 Лепщик-модельщик архитектурных деталей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квалифицированных рабочих, служащих с использованием ресурсов нескольких образовательных организаций. В реализации программы подготовки квалифицированных рабочих, служащих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квалифицированных рабочих, служащих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2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1 статьи 15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3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4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ППКРС - программа подготовки квалифицированных рабочих, служащих по профессии;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ПРОФЕССИИ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Сроки получения СПО по профессии 072200.01 Лепщик-модельщик архитектурных деталей в очной форме обучения и соответствующие квалификации приводятся в Таблице 1.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jc w:val="right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59"/>
        <w:gridCol w:w="4542"/>
        <w:gridCol w:w="2761"/>
      </w:tblGrid>
      <w:tr>
        <w:tc>
          <w:tcPr>
            <w:tcW w:w="23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ППКРС</w:t>
            </w:r>
          </w:p>
        </w:tc>
        <w:tc>
          <w:tcPr>
            <w:tcW w:w="45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(профессий по Общероссийскому </w:t>
            </w:r>
            <w:hyperlink w:history="0" r:id="rId1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разрядов) (ОК 016-94) </w:t>
            </w:r>
            <w:hyperlink w:history="0" w:anchor="P86" w:tooltip="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7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ППКРС в очной форме обучения </w:t>
            </w:r>
            <w:hyperlink w:history="0" w:anchor="P87" w:tooltip="&lt;2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  <w:tr>
        <w:tc>
          <w:tcPr>
            <w:tcW w:w="23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4542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Лепщик архитектурных деталей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Модельщик архитектурных деталей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7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мес.</w:t>
            </w:r>
          </w:p>
        </w:tc>
      </w:tr>
      <w:tr>
        <w:tblPrEx>
          <w:tblBorders>
            <w:insideH w:val="nil"/>
          </w:tblBorders>
        </w:tblPrEx>
        <w:tc>
          <w:tcPr>
            <w:tcW w:w="235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76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мес. </w:t>
            </w:r>
            <w:hyperlink w:history="0" w:anchor="P88" w:tooltip="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662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389)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6" w:name="P86"/>
    <w:bookmarkEnd w:id="8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</w:t>
      </w:r>
    </w:p>
    <w:bookmarkStart w:id="87" w:name="P87"/>
    <w:bookmarkEnd w:id="8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Независимо от применяемых образовательных технологий.</w:t>
      </w:r>
    </w:p>
    <w:bookmarkStart w:id="88" w:name="P88"/>
    <w:bookmarkEnd w:id="8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90" w:name="P90"/>
    <w:bookmarkEnd w:id="90"/>
    <w:p>
      <w:pPr>
        <w:pStyle w:val="0"/>
        <w:ind w:firstLine="540"/>
        <w:jc w:val="both"/>
      </w:pPr>
      <w:r>
        <w:rPr>
          <w:sz w:val="20"/>
        </w:rPr>
        <w:t xml:space="preserve">3.2. Рекомендуемый перечень возможных сочетаний профессий рабочих, должностей служащих по Общероссийскому </w:t>
      </w:r>
      <w:hyperlink w:history="0" r:id="rId1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классификатору</w:t>
        </w:r>
      </w:hyperlink>
      <w:r>
        <w:rPr>
          <w:sz w:val="20"/>
        </w:rPr>
        <w:t xml:space="preserve"> профессий рабочих, должностей служащих и тарифных разрядов (ОК 016-94) при формировании ППКРС: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лепщик архитектурных деталей - модельщик архитектурных деталей.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ППКРС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форме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6 месяцев.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выполнение работ по изготовлению, установке и ремонту лепных архитектурных деталей.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материалы для изготовления лепных архитектурных деталей;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гипсовые (кусковые) и эластичные формы;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глиняные и пластилиновые модели;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инструменты и снаряжение;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технологические операции по изготовлению, установке и ремонту лепных архитектурных деталей;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нормативная документация.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Обучающийся по профессии 072200.01 Лепщик-модельщик архитектурных деталей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Изготовление, установка и ремонт лепных архитектурных деталей и объемных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Изготовление моделей из различных материалов.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Ведение индивидуальной трудовой деятельности.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Выпускник, освоивший ППКРС,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исходя из цели и способов ее достижения, определенных руководителем.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информации, необходимой для эффективного выполнения профессиональных задач.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команде, эффективно общаться с коллегами, руководством, клиентами.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Исполнять воинскую обязанность &lt;*&gt;, в том числе с применением полученных профессиональных знаний (для юношей).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В соответствии с Федеральным </w:t>
      </w:r>
      <w:hyperlink w:history="0" r:id="rId18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28.03.1998 N 53-ФЗ "О воинской обязанности и военной службе".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5.2. Выпускник, освоивший ППКРС,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Изготовление, установка и ремонт лепных архитектурных деталей и объемных изделий.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Изготавливать лепные архитектурные детали и объемные изделия.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Устанавливать лепные архитектурные детали и объемные изделия.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Ремонтировать лепные архитектурные детали и объемные изделия.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Изготовление моделей из различных материалов.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Лепить плоскостные модели с простым орнаментом.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Изготавливать части объемных моделей.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Собирать плоские и объемные модели.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Вырезать на моделях орнамент.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Ведение индивидуальной трудовой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Планировать производство товаров и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Обеспечивать условия для производства товаров и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Оказывать услуги в области профессиональной деятельности и реализовывать готовую продукцию.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Нести имущественную ответственность хозяйствующего субъекта.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3.5. Вести документацию установленного образца.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ППКРС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профессионального;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физическая культура;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ППКРС должна составлять около 80 процентов от общего объема времени, отведенного на ее освоение. Вариативная часть (около 20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Общепрофессиональный учебный цикл состоит из общепрофессиональных дисциплин, профессиональный учебный цикл состоит из профессиональных модулей в соответствии с видами деятельности, соответствующими присваиваемой(ым) квалификации(ям).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ППКРС должна предусматривать изучение дисциплины "Безопасность жизнедеятельности". Объем часов на дисциплину "Безопасность жизнедеятельности" составляет 2 часа в неделю в период теоретического обучения (обязательной части учебных циклов), но не более 68 часов, из них на освоение основ военной службы - 70 процентов от общего объема времени, отведенного на указанную дисциплину.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Образовательной организацией при определении структуры ППКРС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Структура программы подготовки квалифицированных</w:t>
      </w:r>
    </w:p>
    <w:p>
      <w:pPr>
        <w:pStyle w:val="2"/>
        <w:jc w:val="center"/>
      </w:pPr>
      <w:r>
        <w:rPr>
          <w:sz w:val="20"/>
        </w:rPr>
        <w:t xml:space="preserve">рабочих, служащих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2</w:t>
      </w:r>
    </w:p>
    <w:p>
      <w:pPr>
        <w:pStyle w:val="0"/>
        <w:jc w:val="right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40"/>
        <w:gridCol w:w="4082"/>
        <w:gridCol w:w="1077"/>
        <w:gridCol w:w="1077"/>
        <w:gridCol w:w="2279"/>
        <w:gridCol w:w="1321"/>
      </w:tblGrid>
      <w:tr>
        <w:tc>
          <w:tcPr>
            <w:tcW w:w="11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0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т.ч. часов обязательных учебных занятий</w:t>
            </w:r>
          </w:p>
        </w:tc>
        <w:tc>
          <w:tcPr>
            <w:tcW w:w="2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3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ППКРС и раздел "Физическая культура"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576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материалы для выполнения художественных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материалы в соответствии с особенностями выполняемых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сведения о строении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общую классификацию материалов, их характерные свойства и области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сведения, назначение, виды и свойства художественных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обработки различных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техники безопасности при хранении и использовании различных материалов.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ОП.01. Основы материаловедения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</w:tc>
      </w:tr>
      <w:t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нормативные правовые документы, регламентирующие профессиональную деятельность;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защищать свои права в соответствии с действующим законодательством;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конкурентные преимущества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вносить предложения по усовершенствованию товаров и услуг, организации продаж;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бизнес-план организации малого бизнеса; 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Конституции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свободы человека и гражданина, механизмы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понятие правового регулирования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законодательные акты и другие нормативные документы, регулирующие правоотношения в процессе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характеристики организаций различных организационно-правовых форм;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способы организации продаж товаров и оказания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бизнес-планам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ОП.02.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Правовое обеспечение профессиональной и предпринимательской деятельности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3.1 - 3.5</w:t>
            </w:r>
          </w:p>
        </w:tc>
      </w:tr>
      <w:tr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профессиональное общение с соблюдением норм и правил делового этикета;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простыми приемами саморегуляции поведения в процессе межличностного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передавать информацию устно и письменно с соблюдением требований культуры речи;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 решения и аргументировано отстаивать свою точку зрения в корректной форме;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поддерживать деловую репутацию;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создавать и соблюдать имидж делового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рабочее место;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делового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этические нормы взаимоотношений с коллегами, партнерами, клиентами;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техники и приемы общения: правила слушания, ведения беседы, убеждения, консультирования;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обращения, изложения просьб, выражения признательности, способы аргументации в производственных ситуациях;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составляющие внешнего облика делового человека: костюм, прическа, макияж, аксессуары и др.;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организации рабочего пространства для индивидуальной работы и профессионального общения.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ОП.03.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деловой культуры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3.1 - 3.5</w:t>
            </w:r>
          </w:p>
        </w:tc>
      </w:tr>
      <w:tr>
        <w:tc>
          <w:tcPr>
            <w:tcW w:w="1140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 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ОП.04.</w:t>
            </w:r>
          </w:p>
          <w:p>
            <w:pPr>
              <w:pStyle w:val="0"/>
            </w:pPr>
            <w:r>
              <w:rPr>
                <w:sz w:val="20"/>
              </w:rPr>
              <w:t xml:space="preserve">Безопасность жизнедеятельности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3.1 - 3.5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578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392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578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392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Изготовление, установка и ремонт лепных архитектурных деталей и объемных изделий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изготовления лепных архитектурных деталей и объемных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установки лепных архитектурных деталей и объемных изделий;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отливку, отбивку и набивку изделий и лепных архитектурных деталей всех видов;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изготавливать формы по гипсовым моделям;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отделку изделий всех видов;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производить снятие лепных архитектурных деталей, в т.ч. со сложным орнаментом или громоздких, с сохранением их для отливки форм;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сведения об архитектурных лепных деталях и их стилевых характеристиках;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архитектурных деталей и их составные части;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лепного орнамента;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материалы для формирования форм и отливок;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комбинированных форм из гипса и клея, гипса и формопласта, гипса и дерева;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требования, предъявляемые к качеству изделий и лепных архитектурных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подготовки больших глиняных моделей для снятия с них черновых форм;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качеству архитектурных деталей.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 Архитектурные детали и объемные изделия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Изготовление моделей из различных материалов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изготовления и лепки моделей из глины, пластилина и гипса;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лепку из глины плоскостных моделей с простым орнаментом;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вырезать необходимые шаблоны и изготавливать деревянную опалубку;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вытягивать гипсовые основания плоскостных моделей;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вытягивать, вытачивать и вырезать части объемных моделей;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гипсовые плоскостные и объемные модели с гладкой поверхностью, а также плоскостные модели с простым орнаментом;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вырезать из гипса модели небольших изделий: сухарей, капель, бус и др.;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вырезать на гипсовых моделях простой орнамент;</w:t>
            </w:r>
          </w:p>
          <w:p>
            <w:pPr>
              <w:pStyle w:val="0"/>
            </w:pPr>
            <w:r>
              <w:rPr>
                <w:sz w:val="20"/>
              </w:rPr>
              <w:t xml:space="preserve">зачищать плоскостные и объемные модели с гладкой поверхностью, а также плоскостные модели с простым орнаментом;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материалов, применяемых для изготовления моделей и требования к их качеству;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устройства и принцип действия станков и приспособлений для вытачивания и вытягивания деталей моделей.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 Технология изготовления моделей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Ведение индивидуальной трудовой деятельности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оформления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принятия хозяйственных решений;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готовить документы для подачи заявления о государственной регистрации в качестве индивидуального предпринимателя;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выбирать режим уплаты налогов;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отчетность установленной формы;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состояние рынка товаров и услуг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планировать объем и ассортимент выпускаемой продукции и услуг;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учет;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прибыль и убытки по результатам индивидуальной трудовой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основы индивидуального предпринимательства;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соотношение финансов индивидуальных предпринимателей и физических лиц;</w:t>
            </w:r>
          </w:p>
          <w:p>
            <w:pPr>
              <w:pStyle w:val="0"/>
            </w:pPr>
            <w:r>
              <w:rPr>
                <w:sz w:val="20"/>
              </w:rPr>
              <w:t xml:space="preserve">упрощенный порядок ведения учета;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экономическую сущность налогов, их функции;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режимы уплаты налогов: общий режим, режим налогообложения в виде единого налога на вмененный доход для отдельных видов деятельности (ЕНВД), упрощенную систему налогообложения (УСН), УСН на основе патента и др.;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оформления кредитов;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подсчета прибыли и убытков;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ассортимент выпускаемой продукции и услуг.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</w:t>
            </w:r>
          </w:p>
          <w:p>
            <w:pPr>
              <w:pStyle w:val="0"/>
            </w:pPr>
            <w:r>
              <w:rPr>
                <w:sz w:val="20"/>
              </w:rPr>
              <w:t xml:space="preserve">Индивидуальное предпринимательство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3.1 - 3.5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ФК.00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освоения раздела "Физическая культура"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жизни.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ОК 7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ППКРС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обязательной части ППКРС, включая раздел "Физическая культура", и вариативной части ППКРС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нед./39 нед.</w:t>
            </w:r>
          </w:p>
        </w:tc>
        <w:tc>
          <w:tcPr>
            <w:tcW w:w="1077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684/1404</w:t>
            </w:r>
          </w:p>
        </w:tc>
        <w:tc>
          <w:tcPr>
            <w:tcW w:w="2279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3.1 - 3.5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1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389)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2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389)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3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09.04.2015 N 389)</w:t>
            </w:r>
          </w:p>
        </w:tc>
      </w:tr>
    </w:tbl>
    <w:p>
      <w:pPr>
        <w:sectPr>
          <w:headerReference w:type="default" r:id="rId19"/>
          <w:headerReference w:type="first" r:id="rId19"/>
          <w:footerReference w:type="default" r:id="rId20"/>
          <w:footerReference w:type="first" r:id="rId20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4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389)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среднего профессионального образования по ППКРС в очной форме обучения составляет 43/65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807"/>
        <w:gridCol w:w="1832"/>
      </w:tblGrid>
      <w:tr>
        <w:tc>
          <w:tcPr>
            <w:tcW w:w="780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Обучение по учебным циклам и разделу "Физическая культура"</w:t>
            </w:r>
          </w:p>
        </w:tc>
        <w:tc>
          <w:tcPr>
            <w:tcW w:w="183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 нед.</w:t>
            </w:r>
          </w:p>
        </w:tc>
      </w:tr>
      <w:tr>
        <w:tc>
          <w:tcPr>
            <w:tcW w:w="780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32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нед./39 нед.</w:t>
            </w:r>
          </w:p>
        </w:tc>
      </w:tr>
      <w:tr>
        <w:tc>
          <w:tcPr>
            <w:tcW w:w="780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vMerge w:val="continue"/>
          </w:tcPr>
          <w:p/>
        </w:tc>
      </w:tr>
      <w:tr>
        <w:tc>
          <w:tcPr>
            <w:tcW w:w="780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3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</w:tr>
      <w:tr>
        <w:tc>
          <w:tcPr>
            <w:tcW w:w="780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3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</w:tr>
      <w:tr>
        <w:tc>
          <w:tcPr>
            <w:tcW w:w="780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83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7807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83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 нед./65 нед.</w:t>
            </w:r>
          </w:p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ППКРС в соответствии с ФГОС СПО, определяя профессию или группу профессий рабочих (должностей служащих) по </w:t>
      </w:r>
      <w:hyperlink w:history="0" r:id="rId2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ОК 016-94</w:t>
        </w:r>
      </w:hyperlink>
      <w:r>
        <w:rPr>
          <w:sz w:val="20"/>
        </w:rPr>
        <w:t xml:space="preserve"> (исходя из рекомендуемого перечня их возможных сочетаний согласно </w:t>
      </w:r>
      <w:hyperlink w:history="0" w:anchor="P90" w:tooltip="3.2. Рекомендуемый перечень возможных сочетаний профессий рабочих, должностей служащих по Общероссийскому классификатору профессий рабочих, должностей служащих и тарифных разрядов (ОК 016-94) при формировании ППКРС:">
        <w:r>
          <w:rPr>
            <w:sz w:val="20"/>
            <w:color w:val="0000ff"/>
          </w:rPr>
          <w:t xml:space="preserve">пункту 3.2</w:t>
        </w:r>
      </w:hyperlink>
      <w:r>
        <w:rPr>
          <w:sz w:val="20"/>
        </w:rPr>
        <w:t xml:space="preserve"> ФГОС СПО), с учетом соответствующей примерной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ППКРС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присваиваемой(ым) квалификации(ям),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ППКРС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ППКРС,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6" w:tooltip="Приказ Минобрнауки России от 09.04.2015 N 389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08.05.2015 N 3721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389)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ППКРС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при реализации компетентностного подхода использование в образовательном процессе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ситуаций, психологических и иных тренингов, групповых дискуссий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ППКРС обучающиеся имеют академические права и обязанности в соответствии с Федеральным </w:t>
      </w:r>
      <w:hyperlink w:history="0" r:id="rId27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учебной работы по освоению ППКРС и консультации.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По дисциплине "Физическая культура" могут быть предусмотрены еженедельно 2 часа самостоятельной учебной нагрузки, включая игровые виды подготовки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Образовательная организация имеет право для подгрупп девушек использовать 70 процентов учебного времени дисциплины "Безопасность жизнедеятельности",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Получение СПО на базе основного общего образования осуществляется с одновременным получением среднего общего образования в пределах ППКРС. В этом случае ППКРС,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ППКРС в очной форме обучения для лиц, обучающихся на базе основного общего образования, увеличивается на 82 недели из расчета: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257"/>
        <w:gridCol w:w="1757"/>
      </w:tblGrid>
      <w:tr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теоретическое обучение (при обязательной учебной нагрузке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36 часов в неделю)</w:t>
            </w:r>
          </w:p>
        </w:tc>
        <w:tc>
          <w:tcPr>
            <w:tcW w:w="1757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57 нед.</w:t>
            </w:r>
          </w:p>
        </w:tc>
      </w:tr>
      <w:tr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 нед.</w:t>
            </w:r>
          </w:p>
        </w:tc>
      </w:tr>
      <w:tr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7.10.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8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2004, N 35, ст. 3607; 2005, N 30, ст. 3111; 2007, N 49, ст. 6070; 2008, N 30, ст. 3616; 2013, N 27, ст. 3477).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Практика является обязательным разделом ППКРС.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ППКРС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Реализация ППКРС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должны иметь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ППКРС должна обеспечиваться учебно-методической документацией по всем дисциплинам, междисциплинарным курсам и профессиональным модулям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обеспечиваться доступом каждого обучающегося к базам данных и библиотечным фондам, формируемым по полному перечню дисциплин (модулей) ППКРС.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общепрофессионального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циклов, изданными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отечественных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отечественными организациями, в том числе образовательными организациями,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Прием на обучение по ППКРС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29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ППКРС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7.16. Образовательная организация, реализующая ППКРС,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деловой культуры;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 и охраны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материаловедения.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токарная;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лепки и моделирования.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тринадцатый - четырнадцатый утратили силу. - </w:t>
      </w:r>
      <w:hyperlink w:history="0" r:id="rId30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Реализация ППКРС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ППКРС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ТРЕБОВАНИЯ К РЕЗУЛЬТАТАМ ОСВОЕНИЯ ПРОГРАММЫ</w:t>
      </w:r>
    </w:p>
    <w:p>
      <w:pPr>
        <w:pStyle w:val="2"/>
        <w:jc w:val="center"/>
      </w:pPr>
      <w:r>
        <w:rPr>
          <w:sz w:val="20"/>
        </w:rPr>
        <w:t xml:space="preserve">ПОДГОТОВКИ КВАЛИФИЦИРОВАННЫХ РАБОЧИХ, СЛУЖАЩИХ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ППКРС должна включать текущий контроль успеваемости, промежуточную и государственную итоговую аттестацию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ППКРС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ППКРС, если иное не установлено порядком проведения государственной итоговой аттестации по образовательным программам среднего профессионального образования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31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 Обязательные требования - соответствие тематики выпускной квалификационной работы содержанию одного или нескольких профессиональных модулей; выпускная практическая квалификационная работа должна предусматривать сложность работы не ниже разряда по профессии рабочего, предусмотренного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8.7. Обучающиеся по ППКРС, не имеющие среднего общего образования, в соответствии с </w:t>
      </w:r>
      <w:hyperlink w:history="0" r:id="rId32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6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 вправе бесплатно пройти государственную итоговую аттестацию, которой завершается освоение образовательных программ среднего общего образования. При успешном прохождении указанной государственной итоговой аттестации аккредитованной образовательной организацией обучающимся выдается аттестат о среднем общем образовании.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681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681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B15CCC7AC8939637A01846E4DBCD18A747EE00FC06A6ADDCB3BC5D408F92101851EE4F3BD5C619076F5E66CA44D2103B81471EB636F64DD1eC47R" TargetMode = "External"/>
	<Relationship Id="rId8" Type="http://schemas.openxmlformats.org/officeDocument/2006/relationships/hyperlink" Target="consultantplus://offline/ref=B15CCC7AC8939637A01846E4DBCD18A747E30EFF00A5ADDCB3BC5D408F92101851EE4F3BD5C61F076A5E66CA44D2103B81471EB636F64DD1eC47R" TargetMode = "External"/>
	<Relationship Id="rId9" Type="http://schemas.openxmlformats.org/officeDocument/2006/relationships/hyperlink" Target="consultantplus://offline/ref=B15CCC7AC8939637A01846E4DBCD18A745EA07FD02A5ADDCB3BC5D408F92101843EE1737D4C000056F4B309B02e845R" TargetMode = "External"/>
	<Relationship Id="rId10" Type="http://schemas.openxmlformats.org/officeDocument/2006/relationships/hyperlink" Target="consultantplus://offline/ref=B15CCC7AC8939637A01846E4DBCD18A747EE00FC06A6ADDCB3BC5D408F92101851EE4F3BD5C619076F5E66CA44D2103B81471EB636F64DD1eC47R" TargetMode = "External"/>
	<Relationship Id="rId11" Type="http://schemas.openxmlformats.org/officeDocument/2006/relationships/hyperlink" Target="consultantplus://offline/ref=B15CCC7AC8939637A01846E4DBCD18A747E30EFF00A5ADDCB3BC5D408F92101851EE4F3BD5C61F076A5E66CA44D2103B81471EB636F64DD1eC47R" TargetMode = "External"/>
	<Relationship Id="rId12" Type="http://schemas.openxmlformats.org/officeDocument/2006/relationships/hyperlink" Target="consultantplus://offline/ref=B15CCC7AC8939637A01846E4DBCD18A740E905FB02A1ADDCB3BC5D408F92101851EE4F3BD5C61C016A5E66CA44D2103B81471EB636F64DD1eC47R" TargetMode = "External"/>
	<Relationship Id="rId13" Type="http://schemas.openxmlformats.org/officeDocument/2006/relationships/hyperlink" Target="consultantplus://offline/ref=B15CCC7AC8939637A01846E4DBCD18A747E30EFF00A5ADDCB3BC5D408F92101851EE4F3BD5C61F07655E66CA44D2103B81471EB636F64DD1eC47R" TargetMode = "External"/>
	<Relationship Id="rId14" Type="http://schemas.openxmlformats.org/officeDocument/2006/relationships/hyperlink" Target="consultantplus://offline/ref=B15CCC7AC8939637A01846E4DBCD18A747E30EFF00A5ADDCB3BC5D408F92101851EE4F3BD5C61F006D5E66CA44D2103B81471EB636F64DD1eC47R" TargetMode = "External"/>
	<Relationship Id="rId15" Type="http://schemas.openxmlformats.org/officeDocument/2006/relationships/hyperlink" Target="consultantplus://offline/ref=B15CCC7AC8939637A01846E4DBCD18A745E903F608A1ADDCB3BC5D408F92101851EE4F3BD5C61E056D5E66CA44D2103B81471EB636F64DD1eC47R" TargetMode = "External"/>
	<Relationship Id="rId16" Type="http://schemas.openxmlformats.org/officeDocument/2006/relationships/hyperlink" Target="consultantplus://offline/ref=B15CCC7AC8939637A01846E4DBCD18A747EE00FC06A6ADDCB3BC5D408F92101851EE4F3BD5C619076E5E66CA44D2103B81471EB636F64DD1eC47R" TargetMode = "External"/>
	<Relationship Id="rId17" Type="http://schemas.openxmlformats.org/officeDocument/2006/relationships/hyperlink" Target="consultantplus://offline/ref=B15CCC7AC8939637A01846E4DBCD18A745E903F608A1ADDCB3BC5D408F92101851EE4F3BD5C61E056D5E66CA44D2103B81471EB636F64DD1eC47R" TargetMode = "External"/>
	<Relationship Id="rId18" Type="http://schemas.openxmlformats.org/officeDocument/2006/relationships/hyperlink" Target="consultantplus://offline/ref=B15CCC7AC8939637A01846E4DBCD18A740E804FB02A5ADDCB3BC5D408F92101843EE1737D4C000056F4B309B02e845R" TargetMode = "External"/>
	<Relationship Id="rId19" Type="http://schemas.openxmlformats.org/officeDocument/2006/relationships/header" Target="header2.xml"/>
	<Relationship Id="rId20" Type="http://schemas.openxmlformats.org/officeDocument/2006/relationships/footer" Target="footer2.xml"/>
	<Relationship Id="rId21" Type="http://schemas.openxmlformats.org/officeDocument/2006/relationships/hyperlink" Target="consultantplus://offline/ref=B15CCC7AC8939637A01846E4DBCD18A747EE00FC06A6ADDCB3BC5D408F92101851EE4F3BD5C61907695E66CA44D2103B81471EB636F64DD1eC47R" TargetMode = "External"/>
	<Relationship Id="rId22" Type="http://schemas.openxmlformats.org/officeDocument/2006/relationships/hyperlink" Target="consultantplus://offline/ref=B15CCC7AC8939637A01846E4DBCD18A747EE00FC06A6ADDCB3BC5D408F92101851EE4F3BD5C619006E5E66CA44D2103B81471EB636F64DD1eC47R" TargetMode = "External"/>
	<Relationship Id="rId23" Type="http://schemas.openxmlformats.org/officeDocument/2006/relationships/hyperlink" Target="consultantplus://offline/ref=B15CCC7AC8939637A01846E4DBCD18A747EE00FC06A6ADDCB3BC5D408F92101851EE4F3BD5C619006B5E66CA44D2103B81471EB636F64DD1eC47R" TargetMode = "External"/>
	<Relationship Id="rId24" Type="http://schemas.openxmlformats.org/officeDocument/2006/relationships/hyperlink" Target="consultantplus://offline/ref=B15CCC7AC8939637A01846E4DBCD18A747EE00FC06A6ADDCB3BC5D408F92101851EE4F3BD5C619016D5E66CA44D2103B81471EB636F64DD1eC47R" TargetMode = "External"/>
	<Relationship Id="rId25" Type="http://schemas.openxmlformats.org/officeDocument/2006/relationships/hyperlink" Target="consultantplus://offline/ref=B15CCC7AC8939637A01846E4DBCD18A745E903F608A1ADDCB3BC5D408F92101851EE4F3BD5C61E056D5E66CA44D2103B81471EB636F64DD1eC47R" TargetMode = "External"/>
	<Relationship Id="rId26" Type="http://schemas.openxmlformats.org/officeDocument/2006/relationships/hyperlink" Target="consultantplus://offline/ref=B15CCC7AC8939637A01846E4DBCD18A747EE00FC06A6ADDCB3BC5D408F92101851EE4F3BD5C619026A5E66CA44D2103B81471EB636F64DD1eC47R" TargetMode = "External"/>
	<Relationship Id="rId27" Type="http://schemas.openxmlformats.org/officeDocument/2006/relationships/hyperlink" Target="consultantplus://offline/ref=B15CCC7AC8939637A01846E4DBCD18A740E905FB02A1ADDCB3BC5D408F92101843EE1737D4C000056F4B309B02e845R" TargetMode = "External"/>
	<Relationship Id="rId28" Type="http://schemas.openxmlformats.org/officeDocument/2006/relationships/hyperlink" Target="consultantplus://offline/ref=B15CCC7AC8939637A01846E4DBCD18A740E804FB02A5ADDCB3BC5D408F92101851EE4F39DCC615503C1167960181033B85471DB42AeF46R" TargetMode = "External"/>
	<Relationship Id="rId29" Type="http://schemas.openxmlformats.org/officeDocument/2006/relationships/hyperlink" Target="consultantplus://offline/ref=B15CCC7AC8939637A01846E4DBCD18A740E905FB02A1ADDCB3BC5D408F92101851EE4F3BD5C617056D5E66CA44D2103B81471EB636F64DD1eC47R" TargetMode = "External"/>
	<Relationship Id="rId30" Type="http://schemas.openxmlformats.org/officeDocument/2006/relationships/hyperlink" Target="consultantplus://offline/ref=B15CCC7AC8939637A01846E4DBCD18A747E30EFF00A5ADDCB3BC5D408F92101851EE4F3BD5C61F006C5E66CA44D2103B81471EB636F64DD1eC47R" TargetMode = "External"/>
	<Relationship Id="rId31" Type="http://schemas.openxmlformats.org/officeDocument/2006/relationships/hyperlink" Target="consultantplus://offline/ref=B15CCC7AC8939637A01846E4DBCD18A740E905FB02A1ADDCB3BC5D408F92101851EE4F3BD5C616046E5E66CA44D2103B81471EB636F64DD1eC47R" TargetMode = "External"/>
	<Relationship Id="rId32" Type="http://schemas.openxmlformats.org/officeDocument/2006/relationships/hyperlink" Target="consultantplus://offline/ref=B15CCC7AC8939637A01846E4DBCD18A740E905FB02A1ADDCB3BC5D408F92101851EE4F3BD5C617056F5E66CA44D2103B81471EB636F64DD1eC47R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02.08.2013 N 681
(ред. от 13.07.2021)
"Об утверждении федерального государственного образовательного стандарта среднего профессионального образования по профессии 072200.01 Лепщик-модельщик архитектурных деталей"
(Зарегистрировано в Минюсте России 20.08.2013 N 29568)</dc:title>
  <dcterms:created xsi:type="dcterms:W3CDTF">2022-12-16T17:56:30Z</dcterms:created>
</cp:coreProperties>
</file>