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05.02.2018 N 67</w:t>
              <w:br/>
              <w:t xml:space="preserve">(ред. от 13.07.2021)</w:t>
              <w:br/>
              <w:t xml:space="preserve">"Об утверждении федерального государственного образовательного стандарта среднего профессионального образования по специальности 38.02.07 Банковское дело"</w:t>
              <w:br/>
              <w:t xml:space="preserve">(Зарегистрировано в Минюсте России 26.02.2018 N 50135)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февраля 2018 г. N 50135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5 февраля 2018 г. N 67</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38.02.07 БАНКОВСКОЕ ДЕЛО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38.02.07 Банковское дело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6"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8.07.2014 N 837 &quot;Об утверждении федерального государственного образовательного стандарта среднего профессионального образования по специальности 38.02.07 Банковское дело&quot; (Зарегистрировано в Минюсте России 18.08.2014 N 33622)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38.02.07 Банковское дело, утвержденным приказом Министерства образования и науки Российской Федерации от 28 июля 2014 г. N 837 (зарегистрирован Министерством юстиции Российской Федерации 18 августа 2014 г., регистрационный N 33622),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5 февраля 2018 г. N 67</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38.02.07 БАНКОВСКОЕ ДЕЛО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38.02.07 Банковское дело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12" w:tooltip="ПЕРЕЧЕНЬ">
        <w:r>
          <w:rPr>
            <w:sz w:val="20"/>
            <w:color w:val="0000ff"/>
          </w:rPr>
          <w:t xml:space="preserve">приложение N 1</w:t>
        </w:r>
      </w:hyperlink>
      <w:r>
        <w:rPr>
          <w:sz w:val="20"/>
        </w:rPr>
        <w:t xml:space="preserve"> к настоящему ФГОС СПО).</w:t>
      </w:r>
    </w:p>
    <w:bookmarkStart w:id="49" w:name="P49"/>
    <w:bookmarkEnd w:id="49"/>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08</w:t>
        </w:r>
      </w:hyperlink>
      <w:r>
        <w:rPr>
          <w:sz w:val="20"/>
        </w:rPr>
        <w:t xml:space="preserve"> Финансы и экономика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(абзац введен </w:t>
      </w:r>
      <w:hyperlink w:history="0" r:id="rId1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1" w:name="P71"/>
    <w:bookmarkEnd w:id="71"/>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квалификацией специалиста среднего звена "специалист банковского дела", указанной в </w:t>
      </w:r>
      <w:hyperlink w:history="0" r:id="rId15"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6"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7"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history="0" w:anchor="P71" w:tooltip="1.12. Образовательная организация разрабатывает образовательную программу в соответствии с квалификацией специалиста среднего звена &quot;специалист банковского дела&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1" w:tooltip="1.12. Образовательная организация разрабатывает образовательную программу в соответствии с квалификацией специалиста среднего звена &quot;специалист банковского дела&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90" w:name="P90"/>
    <w:bookmarkEnd w:id="90"/>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19"/>
        <w:gridCol w:w="2551"/>
      </w:tblGrid>
      <w:tr>
        <w:tc>
          <w:tcPr>
            <w:tcW w:w="6519" w:type="dxa"/>
          </w:tcPr>
          <w:p>
            <w:pPr>
              <w:pStyle w:val="0"/>
              <w:jc w:val="center"/>
            </w:pPr>
            <w:r>
              <w:rPr>
                <w:sz w:val="20"/>
              </w:rPr>
              <w:t xml:space="preserve">Структура образовательной программы</w:t>
            </w:r>
          </w:p>
        </w:tc>
        <w:tc>
          <w:tcPr>
            <w:tcW w:w="2551" w:type="dxa"/>
          </w:tcPr>
          <w:p>
            <w:pPr>
              <w:pStyle w:val="0"/>
              <w:jc w:val="center"/>
            </w:pPr>
            <w:r>
              <w:rPr>
                <w:sz w:val="20"/>
              </w:rPr>
              <w:t xml:space="preserve">Объем образовательной программы в академических часах</w:t>
            </w:r>
          </w:p>
        </w:tc>
      </w:tr>
      <w:tr>
        <w:tc>
          <w:tcPr>
            <w:tcW w:w="6519" w:type="dxa"/>
          </w:tcPr>
          <w:p>
            <w:pPr>
              <w:pStyle w:val="0"/>
            </w:pPr>
            <w:r>
              <w:rPr>
                <w:sz w:val="20"/>
              </w:rPr>
              <w:t xml:space="preserve">Общий гуманитарный и социально-экономический цикл</w:t>
            </w:r>
          </w:p>
        </w:tc>
        <w:tc>
          <w:tcPr>
            <w:tcW w:w="2551" w:type="dxa"/>
          </w:tcPr>
          <w:p>
            <w:pPr>
              <w:pStyle w:val="0"/>
              <w:jc w:val="center"/>
            </w:pPr>
            <w:r>
              <w:rPr>
                <w:sz w:val="20"/>
              </w:rPr>
              <w:t xml:space="preserve">не менее 324</w:t>
            </w:r>
          </w:p>
        </w:tc>
      </w:tr>
      <w:tr>
        <w:tc>
          <w:tcPr>
            <w:tcW w:w="6519" w:type="dxa"/>
          </w:tcPr>
          <w:p>
            <w:pPr>
              <w:pStyle w:val="0"/>
            </w:pPr>
            <w:r>
              <w:rPr>
                <w:sz w:val="20"/>
              </w:rPr>
              <w:t xml:space="preserve">Математический и общий естественнонаучный цикл</w:t>
            </w:r>
          </w:p>
        </w:tc>
        <w:tc>
          <w:tcPr>
            <w:tcW w:w="2551" w:type="dxa"/>
          </w:tcPr>
          <w:p>
            <w:pPr>
              <w:pStyle w:val="0"/>
              <w:jc w:val="center"/>
            </w:pPr>
            <w:r>
              <w:rPr>
                <w:sz w:val="20"/>
              </w:rPr>
              <w:t xml:space="preserve">не менее 108</w:t>
            </w:r>
          </w:p>
        </w:tc>
      </w:tr>
      <w:tr>
        <w:tc>
          <w:tcPr>
            <w:tcW w:w="6519" w:type="dxa"/>
          </w:tcPr>
          <w:p>
            <w:pPr>
              <w:pStyle w:val="0"/>
            </w:pPr>
            <w:r>
              <w:rPr>
                <w:sz w:val="20"/>
              </w:rPr>
              <w:t xml:space="preserve">Общепрофессиональный цикл</w:t>
            </w:r>
          </w:p>
        </w:tc>
        <w:tc>
          <w:tcPr>
            <w:tcW w:w="2551" w:type="dxa"/>
          </w:tcPr>
          <w:p>
            <w:pPr>
              <w:pStyle w:val="0"/>
              <w:jc w:val="center"/>
            </w:pPr>
            <w:r>
              <w:rPr>
                <w:sz w:val="20"/>
              </w:rPr>
              <w:t xml:space="preserve">не менее 468</w:t>
            </w:r>
          </w:p>
        </w:tc>
      </w:tr>
      <w:tr>
        <w:tc>
          <w:tcPr>
            <w:tcW w:w="6519" w:type="dxa"/>
          </w:tcPr>
          <w:p>
            <w:pPr>
              <w:pStyle w:val="0"/>
            </w:pPr>
            <w:r>
              <w:rPr>
                <w:sz w:val="20"/>
              </w:rPr>
              <w:t xml:space="preserve">Профессиональный цикл</w:t>
            </w:r>
          </w:p>
        </w:tc>
        <w:tc>
          <w:tcPr>
            <w:tcW w:w="2551" w:type="dxa"/>
          </w:tcPr>
          <w:p>
            <w:pPr>
              <w:pStyle w:val="0"/>
              <w:jc w:val="center"/>
            </w:pPr>
            <w:r>
              <w:rPr>
                <w:sz w:val="20"/>
              </w:rPr>
              <w:t xml:space="preserve">не менее 1008</w:t>
            </w:r>
          </w:p>
        </w:tc>
      </w:tr>
      <w:tr>
        <w:tc>
          <w:tcPr>
            <w:tcW w:w="6519" w:type="dxa"/>
          </w:tcPr>
          <w:p>
            <w:pPr>
              <w:pStyle w:val="0"/>
            </w:pPr>
            <w:r>
              <w:rPr>
                <w:sz w:val="20"/>
              </w:rPr>
              <w:t xml:space="preserve">Государственная итоговая аттестация</w:t>
            </w:r>
          </w:p>
        </w:tc>
        <w:tc>
          <w:tcPr>
            <w:tcW w:w="2551" w:type="dxa"/>
          </w:tcPr>
          <w:p>
            <w:pPr>
              <w:pStyle w:val="0"/>
              <w:jc w:val="center"/>
            </w:pPr>
            <w:r>
              <w:rPr>
                <w:sz w:val="20"/>
              </w:rPr>
              <w:t xml:space="preserve">216</w:t>
            </w:r>
          </w:p>
        </w:tc>
      </w:tr>
      <w:tr>
        <w:tc>
          <w:tcPr>
            <w:gridSpan w:val="2"/>
            <w:tcW w:w="9070" w:type="dxa"/>
          </w:tcPr>
          <w:p>
            <w:pPr>
              <w:pStyle w:val="0"/>
              <w:outlineLvl w:val="3"/>
              <w:jc w:val="center"/>
            </w:pPr>
            <w:r>
              <w:rPr>
                <w:sz w:val="20"/>
              </w:rPr>
              <w:t xml:space="preserve">Общий объем образовательной программы:</w:t>
            </w:r>
          </w:p>
        </w:tc>
      </w:tr>
      <w:tr>
        <w:tc>
          <w:tcPr>
            <w:tcW w:w="6519" w:type="dxa"/>
          </w:tcPr>
          <w:p>
            <w:pPr>
              <w:pStyle w:val="0"/>
            </w:pPr>
            <w:r>
              <w:rPr>
                <w:sz w:val="20"/>
              </w:rPr>
              <w:t xml:space="preserve">на базе среднего общего образования</w:t>
            </w:r>
          </w:p>
        </w:tc>
        <w:tc>
          <w:tcPr>
            <w:tcW w:w="2551" w:type="dxa"/>
          </w:tcPr>
          <w:p>
            <w:pPr>
              <w:pStyle w:val="0"/>
              <w:jc w:val="center"/>
            </w:pPr>
            <w:r>
              <w:rPr>
                <w:sz w:val="20"/>
              </w:rPr>
              <w:t xml:space="preserve">2952</w:t>
            </w:r>
          </w:p>
        </w:tc>
      </w:tr>
      <w:tr>
        <w:tblPrEx>
          <w:tblBorders>
            <w:insideH w:val="nil"/>
          </w:tblBorders>
        </w:tblPrEx>
        <w:tc>
          <w:tcPr>
            <w:tcW w:w="6519" w:type="dxa"/>
            <w:tcBorders>
              <w:bottom w:val="nil"/>
            </w:tcBorders>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551" w:type="dxa"/>
            <w:tcBorders>
              <w:bottom w:val="nil"/>
            </w:tcBorders>
          </w:tcPr>
          <w:p>
            <w:pPr>
              <w:pStyle w:val="0"/>
              <w:jc w:val="center"/>
            </w:pPr>
            <w:r>
              <w:rPr>
                <w:sz w:val="20"/>
              </w:rPr>
              <w:t xml:space="preserve">4428</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17"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rPr>
              <w:t xml:space="preserve"> Минпросвещения России от 13.07.2021 N 450)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0"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pPr>
        <w:pStyle w:val="0"/>
        <w:jc w:val="both"/>
      </w:pPr>
      <w:r>
        <w:rPr>
          <w:sz w:val="20"/>
        </w:rPr>
      </w:r>
    </w:p>
    <w:bookmarkStart w:id="127" w:name="P127"/>
    <w:bookmarkEnd w:id="127"/>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8"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rPr>
        <w:t xml:space="preserve"> Минпросвещения России от 13.07.2021 N 450)</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w:t>
      </w:r>
    </w:p>
    <w:p>
      <w:pPr>
        <w:pStyle w:val="0"/>
        <w:spacing w:before="200" w:line-rule="auto"/>
        <w:ind w:firstLine="540"/>
        <w:jc w:val="both"/>
      </w:pPr>
      <w:r>
        <w:rPr>
          <w:sz w:val="20"/>
        </w:rPr>
        <w:t xml:space="preserve">ведение расчетных операций;</w:t>
      </w:r>
    </w:p>
    <w:p>
      <w:pPr>
        <w:pStyle w:val="0"/>
        <w:spacing w:before="200" w:line-rule="auto"/>
        <w:ind w:firstLine="540"/>
        <w:jc w:val="both"/>
      </w:pPr>
      <w:r>
        <w:rPr>
          <w:sz w:val="20"/>
        </w:rPr>
        <w:t xml:space="preserve">осуществление кредитных операций.</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Ведение расчетных операций:</w:t>
      </w:r>
    </w:p>
    <w:p>
      <w:pPr>
        <w:pStyle w:val="0"/>
        <w:spacing w:before="200" w:line-rule="auto"/>
        <w:ind w:firstLine="540"/>
        <w:jc w:val="both"/>
      </w:pPr>
      <w:r>
        <w:rPr>
          <w:sz w:val="20"/>
        </w:rPr>
        <w:t xml:space="preserve">ПК 1.1. Осуществлять расчетно-кассовое обслуживание клиентов;</w:t>
      </w:r>
    </w:p>
    <w:p>
      <w:pPr>
        <w:pStyle w:val="0"/>
        <w:spacing w:before="200" w:line-rule="auto"/>
        <w:ind w:firstLine="540"/>
        <w:jc w:val="both"/>
      </w:pPr>
      <w:r>
        <w:rPr>
          <w:sz w:val="20"/>
        </w:rPr>
        <w:t xml:space="preserve">ПК 1.2. Осуществлять безналичные платежи с использованием различных форм расчетов в национальной и иностранной валютах;</w:t>
      </w:r>
    </w:p>
    <w:p>
      <w:pPr>
        <w:pStyle w:val="0"/>
        <w:spacing w:before="200" w:line-rule="auto"/>
        <w:ind w:firstLine="540"/>
        <w:jc w:val="both"/>
      </w:pPr>
      <w:r>
        <w:rPr>
          <w:sz w:val="20"/>
        </w:rPr>
        <w:t xml:space="preserve">ПК 1.3. Осуществлять расчетное обслуживание счетов бюджетов различных уровней;</w:t>
      </w:r>
    </w:p>
    <w:p>
      <w:pPr>
        <w:pStyle w:val="0"/>
        <w:spacing w:before="200" w:line-rule="auto"/>
        <w:ind w:firstLine="540"/>
        <w:jc w:val="both"/>
      </w:pPr>
      <w:r>
        <w:rPr>
          <w:sz w:val="20"/>
        </w:rPr>
        <w:t xml:space="preserve">ПК 1.4. Осуществлять межбанковские расчеты;</w:t>
      </w:r>
    </w:p>
    <w:p>
      <w:pPr>
        <w:pStyle w:val="0"/>
        <w:spacing w:before="200" w:line-rule="auto"/>
        <w:ind w:firstLine="540"/>
        <w:jc w:val="both"/>
      </w:pPr>
      <w:r>
        <w:rPr>
          <w:sz w:val="20"/>
        </w:rPr>
        <w:t xml:space="preserve">ПК 1.5. Осуществлять международные расчеты по экспортно-импортным операциям;</w:t>
      </w:r>
    </w:p>
    <w:p>
      <w:pPr>
        <w:pStyle w:val="0"/>
        <w:spacing w:before="200" w:line-rule="auto"/>
        <w:ind w:firstLine="540"/>
        <w:jc w:val="both"/>
      </w:pPr>
      <w:r>
        <w:rPr>
          <w:sz w:val="20"/>
        </w:rPr>
        <w:t xml:space="preserve">ПК 1.6. Обслуживать расчетные операции с использованием различных видов платежных карт.</w:t>
      </w:r>
    </w:p>
    <w:p>
      <w:pPr>
        <w:pStyle w:val="0"/>
        <w:spacing w:before="200" w:line-rule="auto"/>
        <w:ind w:firstLine="540"/>
        <w:jc w:val="both"/>
      </w:pPr>
      <w:r>
        <w:rPr>
          <w:sz w:val="20"/>
        </w:rPr>
        <w:t xml:space="preserve">3.4.2. Осуществление кредитных операций:</w:t>
      </w:r>
    </w:p>
    <w:p>
      <w:pPr>
        <w:pStyle w:val="0"/>
        <w:spacing w:before="200" w:line-rule="auto"/>
        <w:ind w:firstLine="540"/>
        <w:jc w:val="both"/>
      </w:pPr>
      <w:r>
        <w:rPr>
          <w:sz w:val="20"/>
        </w:rPr>
        <w:t xml:space="preserve">ПК 2.1. Оценивать кредитоспособность клиентов;</w:t>
      </w:r>
    </w:p>
    <w:p>
      <w:pPr>
        <w:pStyle w:val="0"/>
        <w:spacing w:before="200" w:line-rule="auto"/>
        <w:ind w:firstLine="540"/>
        <w:jc w:val="both"/>
      </w:pPr>
      <w:r>
        <w:rPr>
          <w:sz w:val="20"/>
        </w:rPr>
        <w:t xml:space="preserve">ПК 2.2. Осуществлять и оформлять выдачу кредитов;</w:t>
      </w:r>
    </w:p>
    <w:p>
      <w:pPr>
        <w:pStyle w:val="0"/>
        <w:spacing w:before="200" w:line-rule="auto"/>
        <w:ind w:firstLine="540"/>
        <w:jc w:val="both"/>
      </w:pPr>
      <w:r>
        <w:rPr>
          <w:sz w:val="20"/>
        </w:rPr>
        <w:t xml:space="preserve">ПК 2.3. Осуществлять сопровождение выданных кредитов;</w:t>
      </w:r>
    </w:p>
    <w:p>
      <w:pPr>
        <w:pStyle w:val="0"/>
        <w:spacing w:before="200" w:line-rule="auto"/>
        <w:ind w:firstLine="540"/>
        <w:jc w:val="both"/>
      </w:pPr>
      <w:r>
        <w:rPr>
          <w:sz w:val="20"/>
        </w:rPr>
        <w:t xml:space="preserve">ПК 2.4. Проводить операции на рынке межбанковских кредитов;</w:t>
      </w:r>
    </w:p>
    <w:p>
      <w:pPr>
        <w:pStyle w:val="0"/>
        <w:spacing w:before="200" w:line-rule="auto"/>
        <w:ind w:firstLine="540"/>
        <w:jc w:val="both"/>
      </w:pPr>
      <w:r>
        <w:rPr>
          <w:sz w:val="20"/>
        </w:rPr>
        <w:t xml:space="preserve">ПК 2.5. Формировать и регулировать резервы на возможные потери по кредитам.</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239" w:tooltip="Приложение N 2">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269"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предусмотренных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8 Финансы и экономика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8 Финансы и экономика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8 Финансы и экономика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38.02.07</w:t>
      </w:r>
    </w:p>
    <w:p>
      <w:pPr>
        <w:pStyle w:val="0"/>
        <w:jc w:val="right"/>
      </w:pPr>
      <w:r>
        <w:rPr>
          <w:sz w:val="20"/>
        </w:rPr>
        <w:t xml:space="preserve">Банковское дело</w:t>
      </w:r>
    </w:p>
    <w:p>
      <w:pPr>
        <w:pStyle w:val="0"/>
        <w:jc w:val="both"/>
      </w:pPr>
      <w:r>
        <w:rPr>
          <w:sz w:val="20"/>
        </w:rPr>
      </w:r>
    </w:p>
    <w:bookmarkStart w:id="212" w:name="P212"/>
    <w:bookmarkEnd w:id="212"/>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38.02.07 БАНКОВСКОЕ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6917"/>
      </w:tblGrid>
      <w:tr>
        <w:tc>
          <w:tcPr>
            <w:tcW w:w="2154" w:type="dxa"/>
          </w:tcPr>
          <w:p>
            <w:pPr>
              <w:pStyle w:val="0"/>
              <w:jc w:val="center"/>
            </w:pPr>
            <w:r>
              <w:rPr>
                <w:sz w:val="20"/>
              </w:rPr>
              <w:t xml:space="preserve">Код профессионального стандарта</w:t>
            </w:r>
          </w:p>
        </w:tc>
        <w:tc>
          <w:tcPr>
            <w:tcW w:w="6917" w:type="dxa"/>
          </w:tcPr>
          <w:p>
            <w:pPr>
              <w:pStyle w:val="0"/>
              <w:jc w:val="center"/>
            </w:pPr>
            <w:r>
              <w:rPr>
                <w:sz w:val="20"/>
              </w:rPr>
              <w:t xml:space="preserve">Наименование профессионального стандарта</w:t>
            </w:r>
          </w:p>
        </w:tc>
      </w:tr>
      <w:tr>
        <w:tc>
          <w:tcPr>
            <w:tcW w:w="2154" w:type="dxa"/>
          </w:tcPr>
          <w:p>
            <w:pPr>
              <w:pStyle w:val="0"/>
              <w:jc w:val="center"/>
            </w:pPr>
            <w:r>
              <w:rPr>
                <w:sz w:val="20"/>
              </w:rPr>
              <w:t xml:space="preserve">1</w:t>
            </w:r>
          </w:p>
        </w:tc>
        <w:tc>
          <w:tcPr>
            <w:tcW w:w="6917" w:type="dxa"/>
          </w:tcPr>
          <w:p>
            <w:pPr>
              <w:pStyle w:val="0"/>
              <w:jc w:val="center"/>
            </w:pPr>
            <w:r>
              <w:rPr>
                <w:sz w:val="20"/>
              </w:rPr>
              <w:t xml:space="preserve">2</w:t>
            </w:r>
          </w:p>
        </w:tc>
      </w:tr>
      <w:tr>
        <w:tc>
          <w:tcPr>
            <w:tcW w:w="2154" w:type="dxa"/>
          </w:tcPr>
          <w:p>
            <w:pPr>
              <w:pStyle w:val="0"/>
              <w:jc w:val="center"/>
            </w:pPr>
            <w:r>
              <w:rPr>
                <w:sz w:val="20"/>
              </w:rPr>
              <w:t xml:space="preserve">08.020</w:t>
            </w:r>
          </w:p>
        </w:tc>
        <w:tc>
          <w:tcPr>
            <w:tcW w:w="6917" w:type="dxa"/>
          </w:tcPr>
          <w:p>
            <w:pPr>
              <w:pStyle w:val="0"/>
              <w:jc w:val="both"/>
            </w:pPr>
            <w:r>
              <w:rPr>
                <w:sz w:val="20"/>
              </w:rPr>
              <w:t xml:space="preserve">Профессиональный </w:t>
            </w:r>
            <w:hyperlink w:history="0" r:id="rId19" w:tooltip="Приказ Минтруда России от 19.03.2015 N 176н &quot;Об утверждении профессионального стандарта &quot;Специалист по работе с залогами&quot; (Зарегистрировано в Минюсте России 09.04.2015 N 36798) {КонсультантПлюс}">
              <w:r>
                <w:rPr>
                  <w:sz w:val="20"/>
                  <w:color w:val="0000ff"/>
                </w:rPr>
                <w:t xml:space="preserve">стандарт</w:t>
              </w:r>
            </w:hyperlink>
            <w:r>
              <w:rPr>
                <w:sz w:val="20"/>
              </w:rPr>
              <w:t xml:space="preserve"> "Специалист по работе с залогами", утвержден приказом Министерства труда и социальной защиты Российской Федерации от 19 марта 2015 г. N 176н (зарегистрирован Министерством юстиции Российской Федерации 9 апреля 2015 г., регистрационный N 36798)</w:t>
            </w:r>
          </w:p>
        </w:tc>
      </w:tr>
      <w:tr>
        <w:tc>
          <w:tcPr>
            <w:tcW w:w="2154" w:type="dxa"/>
          </w:tcPr>
          <w:p>
            <w:pPr>
              <w:pStyle w:val="0"/>
              <w:jc w:val="center"/>
            </w:pPr>
            <w:r>
              <w:rPr>
                <w:sz w:val="20"/>
              </w:rPr>
              <w:t xml:space="preserve">08.011</w:t>
            </w:r>
          </w:p>
        </w:tc>
        <w:tc>
          <w:tcPr>
            <w:tcW w:w="6917" w:type="dxa"/>
          </w:tcPr>
          <w:p>
            <w:pPr>
              <w:pStyle w:val="0"/>
              <w:jc w:val="both"/>
            </w:pPr>
            <w:r>
              <w:rPr>
                <w:sz w:val="20"/>
              </w:rPr>
              <w:t xml:space="preserve">Профессиональный </w:t>
            </w:r>
            <w:hyperlink w:history="0" r:id="rId20" w:tooltip="Приказ Минтруда России от 19.03.2015 N 171н &quot;Об утверждении профессионального стандарта &quot;Специалист по ипотечному кредитованию&quot; (Зарегистрировано в Минюсте России 31.03.2015 N 36640) ------------ Утратил силу или отменен {КонсультантПлюс}">
              <w:r>
                <w:rPr>
                  <w:sz w:val="20"/>
                  <w:color w:val="0000ff"/>
                </w:rPr>
                <w:t xml:space="preserve">стандарт</w:t>
              </w:r>
            </w:hyperlink>
            <w:r>
              <w:rPr>
                <w:sz w:val="20"/>
              </w:rPr>
              <w:t xml:space="preserve"> "Специалист по ипотечному кредитованию", утвержден приказом Министерства труда и социальной защиты Российской Федерации от 19 марта 2015 г. N 171н (зарегистрирован Министерством юстиции Российской Федерации 31 марта 2015 г., регистрационный N 36640)</w:t>
            </w:r>
          </w:p>
        </w:tc>
      </w:tr>
      <w:tr>
        <w:tc>
          <w:tcPr>
            <w:tcW w:w="2154" w:type="dxa"/>
          </w:tcPr>
          <w:p>
            <w:pPr>
              <w:pStyle w:val="0"/>
              <w:jc w:val="center"/>
            </w:pPr>
            <w:r>
              <w:rPr>
                <w:sz w:val="20"/>
              </w:rPr>
              <w:t xml:space="preserve">08.019</w:t>
            </w:r>
          </w:p>
        </w:tc>
        <w:tc>
          <w:tcPr>
            <w:tcW w:w="6917" w:type="dxa"/>
          </w:tcPr>
          <w:p>
            <w:pPr>
              <w:pStyle w:val="0"/>
              <w:jc w:val="both"/>
            </w:pPr>
            <w:r>
              <w:rPr>
                <w:sz w:val="20"/>
              </w:rPr>
              <w:t xml:space="preserve">Профессиональный </w:t>
            </w:r>
            <w:hyperlink w:history="0" r:id="rId21" w:tooltip="Приказ Минтруда России от 14.11.2016 N 646н &quot;Об утверждении профессионального стандарта &quot;Специалист по потребительскому кредитованию&quot; (Зарегистрировано в Минюсте России 24.11.2016 N 44422) {КонсультантПлюс}">
              <w:r>
                <w:rPr>
                  <w:sz w:val="20"/>
                  <w:color w:val="0000ff"/>
                </w:rPr>
                <w:t xml:space="preserve">стандарт</w:t>
              </w:r>
            </w:hyperlink>
            <w:r>
              <w:rPr>
                <w:sz w:val="20"/>
              </w:rPr>
              <w:t xml:space="preserve"> "Специалист по потребительскому кредитованию", утвержден приказом Министерства труда и социальной защиты Российской Федерации от 14 ноября 2016 г. N 646н (зарегистрирован Министерством юстиции Российской Федерации 24 ноября 2016 г., регистрационный N 44422)</w:t>
            </w:r>
          </w:p>
        </w:tc>
      </w:tr>
      <w:tr>
        <w:tc>
          <w:tcPr>
            <w:tcW w:w="2154" w:type="dxa"/>
          </w:tcPr>
          <w:p>
            <w:pPr>
              <w:pStyle w:val="0"/>
              <w:jc w:val="center"/>
            </w:pPr>
            <w:r>
              <w:rPr>
                <w:sz w:val="20"/>
              </w:rPr>
              <w:t xml:space="preserve">08.014</w:t>
            </w:r>
          </w:p>
        </w:tc>
        <w:tc>
          <w:tcPr>
            <w:tcW w:w="6917" w:type="dxa"/>
          </w:tcPr>
          <w:p>
            <w:pPr>
              <w:pStyle w:val="0"/>
              <w:jc w:val="both"/>
            </w:pPr>
            <w:r>
              <w:rPr>
                <w:sz w:val="20"/>
              </w:rPr>
              <w:t xml:space="preserve">Профессиональный </w:t>
            </w:r>
            <w:hyperlink w:history="0" r:id="rId22" w:tooltip="Приказ Минтруда России от 07.09.2015 N 590н &quot;Об утверждении профессионального стандарта &quot;Специалист по работе с просроченной задолженностью&quot; (Зарегистрировано в Минюсте России 29.09.2015 N 39053) {КонсультантПлюс}">
              <w:r>
                <w:rPr>
                  <w:sz w:val="20"/>
                  <w:color w:val="0000ff"/>
                </w:rPr>
                <w:t xml:space="preserve">стандарт</w:t>
              </w:r>
            </w:hyperlink>
            <w:r>
              <w:rPr>
                <w:sz w:val="20"/>
              </w:rPr>
              <w:t xml:space="preserve"> "Специалист по работе с просроченной задолженностью", утвержден приказом Министерства труда и социальной защиты Российской Федерации от 7 сентября 2015 г. N 590н (зарегистрирован Министерством юстиции Российской Федерации 29 сентября 2015 г., регистрационный N 39053)</w:t>
            </w:r>
          </w:p>
        </w:tc>
      </w:tr>
      <w:tr>
        <w:tc>
          <w:tcPr>
            <w:tcW w:w="2154" w:type="dxa"/>
          </w:tcPr>
          <w:p>
            <w:pPr>
              <w:pStyle w:val="0"/>
              <w:jc w:val="center"/>
            </w:pPr>
            <w:r>
              <w:rPr>
                <w:sz w:val="20"/>
              </w:rPr>
              <w:t xml:space="preserve">08.027</w:t>
            </w:r>
          </w:p>
        </w:tc>
        <w:tc>
          <w:tcPr>
            <w:tcW w:w="6917" w:type="dxa"/>
          </w:tcPr>
          <w:p>
            <w:pPr>
              <w:pStyle w:val="0"/>
              <w:jc w:val="both"/>
            </w:pPr>
            <w:r>
              <w:rPr>
                <w:sz w:val="20"/>
              </w:rPr>
              <w:t xml:space="preserve">Профессиональный </w:t>
            </w:r>
            <w:hyperlink w:history="0" r:id="rId23" w:tooltip="Приказ Минтруда России от 14.11.2016 N 645н &quot;Об утверждении профессионального стандарта &quot;Специалист по платежным услугам&quot; (Зарегистрировано в Минюсте России 24.11.2016 N 44419) {КонсультантПлюс}">
              <w:r>
                <w:rPr>
                  <w:sz w:val="20"/>
                  <w:color w:val="0000ff"/>
                </w:rPr>
                <w:t xml:space="preserve">стандарт</w:t>
              </w:r>
            </w:hyperlink>
            <w:r>
              <w:rPr>
                <w:sz w:val="20"/>
              </w:rPr>
              <w:t xml:space="preserve"> "Специалист по платежным услугам", утвержден приказом Министерства труда и социальной защиты Российской Федерации от 14 ноября 2016 г. N 645н (зарегистрирован Министерством юстиции Российской Федерации 24 ноября 2016 г., регистрационный N 44419)</w:t>
            </w:r>
          </w:p>
        </w:tc>
      </w:tr>
      <w:tr>
        <w:tc>
          <w:tcPr>
            <w:tcW w:w="2154" w:type="dxa"/>
          </w:tcPr>
          <w:p>
            <w:pPr>
              <w:pStyle w:val="0"/>
              <w:jc w:val="center"/>
            </w:pPr>
            <w:r>
              <w:rPr>
                <w:sz w:val="20"/>
              </w:rPr>
              <w:t xml:space="preserve">08.013</w:t>
            </w:r>
          </w:p>
        </w:tc>
        <w:tc>
          <w:tcPr>
            <w:tcW w:w="6917" w:type="dxa"/>
          </w:tcPr>
          <w:p>
            <w:pPr>
              <w:pStyle w:val="0"/>
              <w:jc w:val="both"/>
            </w:pPr>
            <w:r>
              <w:rPr>
                <w:sz w:val="20"/>
              </w:rPr>
              <w:t xml:space="preserve">Профессиональный </w:t>
            </w:r>
            <w:hyperlink w:history="0" r:id="rId24" w:tooltip="Приказ Минтруда России от 14.11.2016 N 643н &quot;Об утверждении профессионального стандарта &quot;Специалист по операциям на межбанковском рынке&quot; (Зарегистрировано в Минюсте России 24.11.2016 N 44421) {КонсультантПлюс}">
              <w:r>
                <w:rPr>
                  <w:sz w:val="20"/>
                  <w:color w:val="0000ff"/>
                </w:rPr>
                <w:t xml:space="preserve">стандарт</w:t>
              </w:r>
            </w:hyperlink>
            <w:r>
              <w:rPr>
                <w:sz w:val="20"/>
              </w:rPr>
              <w:t xml:space="preserve"> "Специалист по операциям на межбанковском рынке", утвержден приказом Министерства труда и социальной защиты Российской Федерации от 14 ноября 2016 г. N 643н (зарегистрирован Министерством юстиции Российской Федерации 24 ноября 2016 г., регистрационный N 44421)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39" w:name="P239"/>
    <w:bookmarkEnd w:id="239"/>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38.02.07</w:t>
      </w:r>
    </w:p>
    <w:p>
      <w:pPr>
        <w:pStyle w:val="0"/>
        <w:jc w:val="right"/>
      </w:pPr>
      <w:r>
        <w:rPr>
          <w:sz w:val="20"/>
        </w:rPr>
        <w:t xml:space="preserve">Банковское дело</w:t>
      </w:r>
    </w:p>
    <w:p>
      <w:pPr>
        <w:pStyle w:val="0"/>
        <w:jc w:val="both"/>
      </w:pPr>
      <w:r>
        <w:rPr>
          <w:sz w:val="20"/>
        </w:rPr>
      </w:r>
    </w:p>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38.02.07 БАНКОВСКОЕ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5"/>
        <w:gridCol w:w="3685"/>
      </w:tblGrid>
      <w:tr>
        <w:tc>
          <w:tcPr>
            <w:tcW w:w="5385" w:type="dxa"/>
          </w:tcPr>
          <w:p>
            <w:pPr>
              <w:pStyle w:val="0"/>
              <w:jc w:val="center"/>
            </w:pPr>
            <w:r>
              <w:rPr>
                <w:sz w:val="20"/>
              </w:rPr>
              <w:t xml:space="preserve">Код по </w:t>
            </w:r>
            <w:hyperlink w:history="0" r:id="rId2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и от 3 февраля 2017 г. N 106 (зарегистрирован Министерством юстиции Российской Федерации 11 апреля 2017 г., регистрационный N 46339)</w:t>
            </w:r>
          </w:p>
        </w:tc>
        <w:tc>
          <w:tcPr>
            <w:tcW w:w="3685" w:type="dxa"/>
          </w:tcPr>
          <w:p>
            <w:pPr>
              <w:pStyle w:val="0"/>
              <w:jc w:val="center"/>
            </w:pPr>
            <w:r>
              <w:rPr>
                <w:sz w:val="20"/>
              </w:rPr>
              <w:t xml:space="preserve">Наименование профессий рабочих, должностей служащих</w:t>
            </w:r>
          </w:p>
        </w:tc>
      </w:tr>
      <w:tr>
        <w:tc>
          <w:tcPr>
            <w:tcW w:w="5385" w:type="dxa"/>
          </w:tcPr>
          <w:p>
            <w:pPr>
              <w:pStyle w:val="0"/>
              <w:jc w:val="center"/>
            </w:pPr>
            <w:hyperlink w:history="0" r:id="rId2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20002</w:t>
              </w:r>
            </w:hyperlink>
          </w:p>
        </w:tc>
        <w:tc>
          <w:tcPr>
            <w:tcW w:w="3685" w:type="dxa"/>
          </w:tcPr>
          <w:p>
            <w:pPr>
              <w:pStyle w:val="0"/>
              <w:jc w:val="both"/>
            </w:pPr>
            <w:r>
              <w:rPr>
                <w:sz w:val="20"/>
              </w:rPr>
              <w:t xml:space="preserve">Агент банка</w:t>
            </w:r>
          </w:p>
        </w:tc>
      </w:tr>
      <w:tr>
        <w:tc>
          <w:tcPr>
            <w:tcW w:w="5385" w:type="dxa"/>
          </w:tcPr>
          <w:p>
            <w:pPr>
              <w:pStyle w:val="0"/>
              <w:jc w:val="center"/>
            </w:pPr>
            <w:hyperlink w:history="0" r:id="rId2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23548</w:t>
              </w:r>
            </w:hyperlink>
          </w:p>
        </w:tc>
        <w:tc>
          <w:tcPr>
            <w:tcW w:w="3685" w:type="dxa"/>
          </w:tcPr>
          <w:p>
            <w:pPr>
              <w:pStyle w:val="0"/>
              <w:jc w:val="both"/>
            </w:pPr>
            <w:r>
              <w:rPr>
                <w:sz w:val="20"/>
              </w:rPr>
              <w:t xml:space="preserve">Контролер (Сберегательного банка)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38.02.07</w:t>
      </w:r>
    </w:p>
    <w:p>
      <w:pPr>
        <w:pStyle w:val="0"/>
        <w:jc w:val="right"/>
      </w:pPr>
      <w:r>
        <w:rPr>
          <w:sz w:val="20"/>
        </w:rPr>
        <w:t xml:space="preserve">Банковское дело</w:t>
      </w:r>
    </w:p>
    <w:p>
      <w:pPr>
        <w:pStyle w:val="0"/>
        <w:jc w:val="both"/>
      </w:pPr>
      <w:r>
        <w:rPr>
          <w:sz w:val="20"/>
        </w:rPr>
      </w:r>
    </w:p>
    <w:bookmarkStart w:id="269" w:name="P269"/>
    <w:bookmarkEnd w:id="269"/>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38.02.07 БАНКОВСКОЕ ДЕЛО</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81"/>
        <w:gridCol w:w="6689"/>
      </w:tblGrid>
      <w:tr>
        <w:tblPrEx>
          <w:tblBorders>
            <w:insideH w:val="single" w:sz="4"/>
          </w:tblBorders>
        </w:tblPrEx>
        <w:tc>
          <w:tcPr>
            <w:tcW w:w="2381" w:type="dxa"/>
            <w:tcBorders>
              <w:top w:val="single" w:sz="4"/>
              <w:bottom w:val="single" w:sz="4"/>
            </w:tcBorders>
          </w:tcPr>
          <w:p>
            <w:pPr>
              <w:pStyle w:val="0"/>
              <w:jc w:val="center"/>
            </w:pPr>
            <w:r>
              <w:rPr>
                <w:sz w:val="20"/>
              </w:rPr>
              <w:t xml:space="preserve">Основной вид деятельности</w:t>
            </w:r>
          </w:p>
        </w:tc>
        <w:tc>
          <w:tcPr>
            <w:tcW w:w="6689"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381" w:type="dxa"/>
            <w:tcBorders>
              <w:top w:val="single" w:sz="4"/>
              <w:bottom w:val="nil"/>
            </w:tcBorders>
          </w:tcPr>
          <w:p>
            <w:pPr>
              <w:pStyle w:val="0"/>
            </w:pPr>
            <w:r>
              <w:rPr>
                <w:sz w:val="20"/>
              </w:rPr>
              <w:t xml:space="preserve">Ведение расчетных операций</w:t>
            </w:r>
          </w:p>
        </w:tc>
        <w:tc>
          <w:tcPr>
            <w:tcW w:w="6689" w:type="dxa"/>
            <w:tcBorders>
              <w:top w:val="single" w:sz="4"/>
              <w:bottom w:val="nil"/>
            </w:tcBorders>
          </w:tcPr>
          <w:p>
            <w:pPr>
              <w:pStyle w:val="0"/>
            </w:pPr>
            <w:r>
              <w:rPr>
                <w:sz w:val="20"/>
              </w:rPr>
              <w:t xml:space="preserve">знать:</w:t>
            </w:r>
          </w:p>
          <w:p>
            <w:pPr>
              <w:pStyle w:val="0"/>
              <w:ind w:firstLine="283"/>
              <w:jc w:val="both"/>
            </w:pPr>
            <w:r>
              <w:rPr>
                <w:sz w:val="20"/>
              </w:rPr>
              <w:t xml:space="preserve">нормативные правовые документы, регулирующие организацию безналичных расчетов, организацию обслуживания счетов бюджетов бюджетной системы Российской Федерации, совершение операций с использованием платежных карт, операции по международным расчетам, связанным с экспортом и импортом товаров и услуг;</w:t>
            </w:r>
          </w:p>
          <w:p>
            <w:pPr>
              <w:pStyle w:val="0"/>
              <w:ind w:firstLine="283"/>
              <w:jc w:val="both"/>
            </w:pPr>
            <w:r>
              <w:rPr>
                <w:sz w:val="20"/>
              </w:rPr>
              <w:t xml:space="preserve">локальные нормативные акты и методические документы в области платежных услуг;</w:t>
            </w:r>
          </w:p>
          <w:p>
            <w:pPr>
              <w:pStyle w:val="0"/>
              <w:ind w:firstLine="283"/>
              <w:jc w:val="both"/>
            </w:pPr>
            <w:r>
              <w:rPr>
                <w:sz w:val="20"/>
              </w:rPr>
              <w:t xml:space="preserve">нормы международного права, определяющие правила проведения международных расчетов;</w:t>
            </w:r>
          </w:p>
          <w:p>
            <w:pPr>
              <w:pStyle w:val="0"/>
              <w:ind w:firstLine="283"/>
              <w:jc w:val="both"/>
            </w:pPr>
            <w:r>
              <w:rPr>
                <w:sz w:val="20"/>
              </w:rPr>
              <w:t xml:space="preserve">содержание и порядок формирования юридических дел клиентов;</w:t>
            </w:r>
          </w:p>
          <w:p>
            <w:pPr>
              <w:pStyle w:val="0"/>
              <w:ind w:firstLine="283"/>
              <w:jc w:val="both"/>
            </w:pPr>
            <w:r>
              <w:rPr>
                <w:sz w:val="20"/>
              </w:rPr>
              <w:t xml:space="preserve">порядок открытия и закрытия лицевых счетов клиентов в валюте Российской Федерации и иностранной валюте;</w:t>
            </w:r>
          </w:p>
          <w:p>
            <w:pPr>
              <w:pStyle w:val="0"/>
              <w:ind w:firstLine="283"/>
              <w:jc w:val="both"/>
            </w:pPr>
            <w:r>
              <w:rPr>
                <w:sz w:val="20"/>
              </w:rPr>
              <w:t xml:space="preserve">правила совершения операций по расчетным счетам, очередность списания денежных средств;</w:t>
            </w:r>
          </w:p>
          <w:p>
            <w:pPr>
              <w:pStyle w:val="0"/>
              <w:ind w:firstLine="283"/>
              <w:jc w:val="both"/>
            </w:pPr>
            <w:r>
              <w:rPr>
                <w:sz w:val="20"/>
              </w:rPr>
              <w:t xml:space="preserve">порядок оформления, представления, отзыва и возврата расчетных документов;</w:t>
            </w:r>
          </w:p>
          <w:p>
            <w:pPr>
              <w:pStyle w:val="0"/>
              <w:ind w:firstLine="283"/>
              <w:jc w:val="both"/>
            </w:pPr>
            <w:r>
              <w:rPr>
                <w:sz w:val="20"/>
              </w:rPr>
              <w:t xml:space="preserve">порядок планирования операций с наличностью;</w:t>
            </w:r>
          </w:p>
          <w:p>
            <w:pPr>
              <w:pStyle w:val="0"/>
              <w:ind w:firstLine="283"/>
              <w:jc w:val="both"/>
            </w:pPr>
            <w:r>
              <w:rPr>
                <w:sz w:val="20"/>
              </w:rPr>
              <w:t xml:space="preserve">порядок лимитирования остатков денежной наличности в кассах клиентов;</w:t>
            </w:r>
          </w:p>
          <w:p>
            <w:pPr>
              <w:pStyle w:val="0"/>
              <w:ind w:firstLine="283"/>
              <w:jc w:val="both"/>
            </w:pPr>
            <w:r>
              <w:rPr>
                <w:sz w:val="20"/>
              </w:rPr>
              <w:t xml:space="preserve">формы расчетов и технологии совершения расчетных операций;</w:t>
            </w:r>
          </w:p>
          <w:p>
            <w:pPr>
              <w:pStyle w:val="0"/>
              <w:ind w:firstLine="283"/>
              <w:jc w:val="both"/>
            </w:pPr>
            <w:r>
              <w:rPr>
                <w:sz w:val="20"/>
              </w:rPr>
              <w:t xml:space="preserve">содержание и порядок заполнения расчетных документов;</w:t>
            </w:r>
          </w:p>
          <w:p>
            <w:pPr>
              <w:pStyle w:val="0"/>
              <w:ind w:firstLine="283"/>
              <w:jc w:val="both"/>
            </w:pPr>
            <w:r>
              <w:rPr>
                <w:sz w:val="20"/>
              </w:rPr>
              <w:t xml:space="preserve">порядок нумерации лицевых счетов, на которых учитываются средства бюджетов;</w:t>
            </w:r>
          </w:p>
          <w:p>
            <w:pPr>
              <w:pStyle w:val="0"/>
              <w:ind w:firstLine="283"/>
              <w:jc w:val="both"/>
            </w:pPr>
            <w:r>
              <w:rPr>
                <w:sz w:val="20"/>
              </w:rPr>
              <w:t xml:space="preserve">порядок и особенности проведения операций по счетам бюджетов различных уровней;</w:t>
            </w:r>
          </w:p>
          <w:p>
            <w:pPr>
              <w:pStyle w:val="0"/>
              <w:ind w:firstLine="283"/>
              <w:jc w:val="both"/>
            </w:pPr>
            <w:r>
              <w:rPr>
                <w:sz w:val="20"/>
              </w:rPr>
              <w:t xml:space="preserve">системы межбанковских расчетов;</w:t>
            </w:r>
          </w:p>
          <w:p>
            <w:pPr>
              <w:pStyle w:val="0"/>
              <w:ind w:firstLine="283"/>
              <w:jc w:val="both"/>
            </w:pPr>
            <w:r>
              <w:rPr>
                <w:sz w:val="20"/>
              </w:rPr>
              <w:t xml:space="preserve">порядок проведения и учет расчетов по корреспондентским счетам, открываемым в подразделениях Банка России;</w:t>
            </w:r>
          </w:p>
          <w:p>
            <w:pPr>
              <w:pStyle w:val="0"/>
              <w:ind w:firstLine="283"/>
              <w:jc w:val="both"/>
            </w:pPr>
            <w:r>
              <w:rPr>
                <w:sz w:val="20"/>
              </w:rPr>
              <w:t xml:space="preserve">порядок проведения и учет расчетов между кредитными организациями через корреспондентские счета (ЛОРО и НОСТРО);</w:t>
            </w:r>
          </w:p>
          <w:p>
            <w:pPr>
              <w:pStyle w:val="0"/>
              <w:ind w:firstLine="283"/>
              <w:jc w:val="both"/>
            </w:pPr>
            <w:r>
              <w:rPr>
                <w:sz w:val="20"/>
              </w:rPr>
              <w:t xml:space="preserve">порядок проведения и учет расчетных операций между филиалами внутри одной кредитной организации;</w:t>
            </w:r>
          </w:p>
          <w:p>
            <w:pPr>
              <w:pStyle w:val="0"/>
              <w:ind w:firstLine="283"/>
              <w:jc w:val="both"/>
            </w:pPr>
            <w:r>
              <w:rPr>
                <w:sz w:val="20"/>
              </w:rPr>
              <w:t xml:space="preserve">формы международных расчетов: аккредитивы, инкассо, переводы, чеки;</w:t>
            </w:r>
          </w:p>
          <w:p>
            <w:pPr>
              <w:pStyle w:val="0"/>
              <w:ind w:firstLine="283"/>
              <w:jc w:val="both"/>
            </w:pPr>
            <w:r>
              <w:rPr>
                <w:sz w:val="20"/>
              </w:rPr>
              <w:t xml:space="preserve">виды платежных документов, порядок проверки их соответствия условиям и формам расчетов;</w:t>
            </w:r>
          </w:p>
          <w:p>
            <w:pPr>
              <w:pStyle w:val="0"/>
              <w:ind w:firstLine="283"/>
              <w:jc w:val="both"/>
            </w:pPr>
            <w:r>
              <w:rPr>
                <w:sz w:val="20"/>
              </w:rPr>
              <w:t xml:space="preserve">порядок проведения и отражение в учете операций международных расчетов с использованием различных форм;</w:t>
            </w:r>
          </w:p>
          <w:p>
            <w:pPr>
              <w:pStyle w:val="0"/>
              <w:ind w:firstLine="283"/>
              <w:jc w:val="both"/>
            </w:pPr>
            <w:r>
              <w:rPr>
                <w:sz w:val="20"/>
              </w:rPr>
              <w:t xml:space="preserve">порядок и отражение в учете переоценки средств в иностранной валюте;</w:t>
            </w:r>
          </w:p>
          <w:p>
            <w:pPr>
              <w:pStyle w:val="0"/>
              <w:ind w:firstLine="283"/>
              <w:jc w:val="both"/>
            </w:pPr>
            <w:r>
              <w:rPr>
                <w:sz w:val="20"/>
              </w:rPr>
              <w:t xml:space="preserve">порядок расчета размеров открытых валютных позиций;</w:t>
            </w:r>
          </w:p>
          <w:p>
            <w:pPr>
              <w:pStyle w:val="0"/>
              <w:ind w:firstLine="283"/>
              <w:jc w:val="both"/>
            </w:pPr>
            <w:r>
              <w:rPr>
                <w:sz w:val="20"/>
              </w:rPr>
              <w:t xml:space="preserve">порядок выполнения уполномоченным банком функций агента валютного контроля;</w:t>
            </w:r>
          </w:p>
          <w:p>
            <w:pPr>
              <w:pStyle w:val="0"/>
              <w:ind w:firstLine="283"/>
              <w:jc w:val="both"/>
            </w:pPr>
            <w:r>
              <w:rPr>
                <w:sz w:val="20"/>
              </w:rPr>
              <w:t xml:space="preserve">меры, направленные на предотвращение использования транснациональных операций для преступных целей;</w:t>
            </w:r>
          </w:p>
          <w:p>
            <w:pPr>
              <w:pStyle w:val="0"/>
              <w:ind w:firstLine="283"/>
              <w:jc w:val="both"/>
            </w:pPr>
            <w:r>
              <w:rPr>
                <w:sz w:val="20"/>
              </w:rPr>
              <w:t xml:space="preserve">системы международных финансовых телекоммуникаций;</w:t>
            </w:r>
          </w:p>
          <w:p>
            <w:pPr>
              <w:pStyle w:val="0"/>
              <w:ind w:firstLine="283"/>
              <w:jc w:val="both"/>
            </w:pPr>
            <w:r>
              <w:rPr>
                <w:sz w:val="20"/>
              </w:rPr>
              <w:t xml:space="preserve">виды платежных карт и операции, проводимые с их использованием;</w:t>
            </w:r>
          </w:p>
          <w:p>
            <w:pPr>
              <w:pStyle w:val="0"/>
              <w:ind w:firstLine="283"/>
              <w:jc w:val="both"/>
            </w:pPr>
            <w:r>
              <w:rPr>
                <w:sz w:val="20"/>
              </w:rPr>
              <w:t xml:space="preserve">условия и порядок выдачи платежных карт;</w:t>
            </w:r>
          </w:p>
          <w:p>
            <w:pPr>
              <w:pStyle w:val="0"/>
              <w:ind w:firstLine="283"/>
              <w:jc w:val="both"/>
            </w:pPr>
            <w:r>
              <w:rPr>
                <w:sz w:val="20"/>
              </w:rPr>
              <w:t xml:space="preserve">технологии и порядок учета расчетов с использованием платежных карт, документальное оформление операций с платежными картами;</w:t>
            </w:r>
          </w:p>
          <w:p>
            <w:pPr>
              <w:pStyle w:val="0"/>
              <w:ind w:firstLine="283"/>
              <w:jc w:val="both"/>
            </w:pPr>
            <w:r>
              <w:rPr>
                <w:sz w:val="20"/>
              </w:rPr>
              <w:t xml:space="preserve">типичные нарушения при совершении расчетных операций по счетам клиентов, межбанковских расчетов, операций с платежными картами.</w:t>
            </w:r>
          </w:p>
        </w:tc>
      </w:tr>
      <w:tr>
        <w:tc>
          <w:tcPr>
            <w:tcW w:w="2381" w:type="dxa"/>
            <w:tcBorders>
              <w:top w:val="nil"/>
              <w:bottom w:val="nil"/>
            </w:tcBorders>
          </w:tcPr>
          <w:p>
            <w:pPr>
              <w:pStyle w:val="0"/>
            </w:pPr>
            <w:r>
              <w:rPr>
                <w:sz w:val="20"/>
              </w:rPr>
            </w:r>
          </w:p>
        </w:tc>
        <w:tc>
          <w:tcPr>
            <w:tcW w:w="6689" w:type="dxa"/>
            <w:tcBorders>
              <w:top w:val="nil"/>
              <w:bottom w:val="nil"/>
            </w:tcBorders>
          </w:tcPr>
          <w:p>
            <w:pPr>
              <w:pStyle w:val="0"/>
            </w:pPr>
            <w:r>
              <w:rPr>
                <w:sz w:val="20"/>
              </w:rPr>
              <w:t xml:space="preserve">уметь:</w:t>
            </w:r>
          </w:p>
          <w:p>
            <w:pPr>
              <w:pStyle w:val="0"/>
              <w:ind w:firstLine="283"/>
              <w:jc w:val="both"/>
            </w:pPr>
            <w:r>
              <w:rPr>
                <w:sz w:val="20"/>
              </w:rPr>
              <w:t xml:space="preserve">оформлять договоры банковского счета с клиентами;</w:t>
            </w:r>
          </w:p>
          <w:p>
            <w:pPr>
              <w:pStyle w:val="0"/>
              <w:ind w:firstLine="283"/>
              <w:jc w:val="both"/>
            </w:pPr>
            <w:r>
              <w:rPr>
                <w:sz w:val="20"/>
              </w:rPr>
              <w:t xml:space="preserve">проверять правильность и полноту оформления расчетных документов;</w:t>
            </w:r>
          </w:p>
          <w:p>
            <w:pPr>
              <w:pStyle w:val="0"/>
              <w:ind w:firstLine="283"/>
              <w:jc w:val="both"/>
            </w:pPr>
            <w:r>
              <w:rPr>
                <w:sz w:val="20"/>
              </w:rPr>
              <w:t xml:space="preserve">открывать и закрывать лицевые счета в валюте Российской Федерации и иностранной валюте;</w:t>
            </w:r>
          </w:p>
          <w:p>
            <w:pPr>
              <w:pStyle w:val="0"/>
              <w:ind w:firstLine="283"/>
              <w:jc w:val="both"/>
            </w:pPr>
            <w:r>
              <w:rPr>
                <w:sz w:val="20"/>
              </w:rPr>
              <w:t xml:space="preserve">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pPr>
              <w:pStyle w:val="0"/>
              <w:ind w:firstLine="283"/>
              <w:jc w:val="both"/>
            </w:pPr>
            <w:r>
              <w:rPr>
                <w:sz w:val="20"/>
              </w:rPr>
              <w:t xml:space="preserve">оформлять выписки из лицевых счетов клиентов;</w:t>
            </w:r>
          </w:p>
          <w:p>
            <w:pPr>
              <w:pStyle w:val="0"/>
              <w:ind w:firstLine="283"/>
              <w:jc w:val="both"/>
            </w:pPr>
            <w:r>
              <w:rPr>
                <w:sz w:val="20"/>
              </w:rPr>
              <w:t xml:space="preserve">рассчитывать и взыскивать суммы вознаграждения за расчетное обслуживание;</w:t>
            </w:r>
          </w:p>
          <w:p>
            <w:pPr>
              <w:pStyle w:val="0"/>
              <w:ind w:firstLine="283"/>
              <w:jc w:val="both"/>
            </w:pPr>
            <w:r>
              <w:rPr>
                <w:sz w:val="20"/>
              </w:rPr>
              <w:t xml:space="preserve">рассчитывать прогноз кассовых оборотов;</w:t>
            </w:r>
          </w:p>
          <w:p>
            <w:pPr>
              <w:pStyle w:val="0"/>
              <w:ind w:firstLine="283"/>
              <w:jc w:val="both"/>
            </w:pPr>
            <w:r>
              <w:rPr>
                <w:sz w:val="20"/>
              </w:rPr>
              <w:t xml:space="preserve">составлять календарь выдачи наличных денег;</w:t>
            </w:r>
          </w:p>
          <w:p>
            <w:pPr>
              <w:pStyle w:val="0"/>
              <w:ind w:firstLine="283"/>
              <w:jc w:val="both"/>
            </w:pPr>
            <w:r>
              <w:rPr>
                <w:sz w:val="20"/>
              </w:rPr>
              <w:t xml:space="preserve">рассчитывать минимальный остаток денежной наличности в кассе;</w:t>
            </w:r>
          </w:p>
          <w:p>
            <w:pPr>
              <w:pStyle w:val="0"/>
              <w:ind w:firstLine="283"/>
              <w:jc w:val="both"/>
            </w:pPr>
            <w:r>
              <w:rPr>
                <w:sz w:val="20"/>
              </w:rPr>
              <w:t xml:space="preserve">составлять отчет о наличном денежном обороте;</w:t>
            </w:r>
          </w:p>
          <w:p>
            <w:pPr>
              <w:pStyle w:val="0"/>
              <w:ind w:firstLine="283"/>
              <w:jc w:val="both"/>
            </w:pPr>
            <w:r>
              <w:rPr>
                <w:sz w:val="20"/>
              </w:rPr>
              <w:t xml:space="preserve">устанавливать лимит остатков денежной наличности в кассах клиентов;</w:t>
            </w:r>
          </w:p>
          <w:p>
            <w:pPr>
              <w:pStyle w:val="0"/>
              <w:ind w:firstLine="283"/>
              <w:jc w:val="both"/>
            </w:pPr>
            <w:r>
              <w:rPr>
                <w:sz w:val="20"/>
              </w:rPr>
              <w:t xml:space="preserve">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pPr>
              <w:pStyle w:val="0"/>
              <w:ind w:firstLine="283"/>
              <w:jc w:val="both"/>
            </w:pPr>
            <w:r>
              <w:rPr>
                <w:sz w:val="20"/>
              </w:rPr>
              <w:t xml:space="preserve">отражать в учете операции по расчетным счетам клиентов;</w:t>
            </w:r>
          </w:p>
          <w:p>
            <w:pPr>
              <w:pStyle w:val="0"/>
              <w:ind w:firstLine="283"/>
              <w:jc w:val="both"/>
            </w:pPr>
            <w:r>
              <w:rPr>
                <w:sz w:val="20"/>
              </w:rPr>
              <w:t xml:space="preserve">исполнять и оформлять операции по возврату сумм, неправильно зачисленных на счета клиентов;</w:t>
            </w:r>
          </w:p>
          <w:p>
            <w:pPr>
              <w:pStyle w:val="0"/>
              <w:ind w:firstLine="283"/>
              <w:jc w:val="both"/>
            </w:pPr>
            <w:r>
              <w:rPr>
                <w:sz w:val="20"/>
              </w:rPr>
              <w:t xml:space="preserve">оформлять открытие счетов по учету доходов и средств бюджетов всех уровней;</w:t>
            </w:r>
          </w:p>
          <w:p>
            <w:pPr>
              <w:pStyle w:val="0"/>
              <w:ind w:firstLine="283"/>
              <w:jc w:val="both"/>
            </w:pPr>
            <w:r>
              <w:rPr>
                <w:sz w:val="20"/>
              </w:rPr>
              <w:t xml:space="preserve">оформлять и отражать в учете операции по зачислению средств на счета бюджетов различных уровней;</w:t>
            </w:r>
          </w:p>
          <w:p>
            <w:pPr>
              <w:pStyle w:val="0"/>
              <w:ind w:firstLine="283"/>
              <w:jc w:val="both"/>
            </w:pPr>
            <w:r>
              <w:rPr>
                <w:sz w:val="20"/>
              </w:rPr>
              <w:t xml:space="preserve">оформлять и отражать в учете возврат налогоплательщикам сумм ошибочно перечисленных налогов и других платежей;</w:t>
            </w:r>
          </w:p>
          <w:p>
            <w:pPr>
              <w:pStyle w:val="0"/>
              <w:ind w:firstLine="283"/>
              <w:jc w:val="both"/>
            </w:pPr>
            <w:r>
              <w:rPr>
                <w:sz w:val="20"/>
              </w:rPr>
              <w:t xml:space="preserve">исполнять и оформлять операции по корреспондентскому счету, открытому в подразделении Банка России;</w:t>
            </w:r>
          </w:p>
          <w:p>
            <w:pPr>
              <w:pStyle w:val="0"/>
              <w:ind w:firstLine="283"/>
              <w:jc w:val="both"/>
            </w:pPr>
            <w:r>
              <w:rPr>
                <w:sz w:val="20"/>
              </w:rPr>
              <w:t xml:space="preserve">проводить расчеты между кредитными организациями через счета ЛОРО и НОСТРО;</w:t>
            </w:r>
          </w:p>
          <w:p>
            <w:pPr>
              <w:pStyle w:val="0"/>
              <w:ind w:firstLine="283"/>
              <w:jc w:val="both"/>
            </w:pPr>
            <w:r>
              <w:rPr>
                <w:sz w:val="20"/>
              </w:rPr>
              <w:t xml:space="preserve">контролировать и выверять расчеты по корреспондентским счетам;</w:t>
            </w:r>
          </w:p>
          <w:p>
            <w:pPr>
              <w:pStyle w:val="0"/>
              <w:ind w:firstLine="283"/>
              <w:jc w:val="both"/>
            </w:pPr>
            <w:r>
              <w:rPr>
                <w:sz w:val="20"/>
              </w:rPr>
              <w:t xml:space="preserve">осуществлять и оформлять расчеты банка со своими филиалами;</w:t>
            </w:r>
          </w:p>
          <w:p>
            <w:pPr>
              <w:pStyle w:val="0"/>
              <w:ind w:firstLine="283"/>
              <w:jc w:val="both"/>
            </w:pPr>
            <w:r>
              <w:rPr>
                <w:sz w:val="20"/>
              </w:rPr>
              <w:t xml:space="preserve">вести учет расчетных документов, не оплаченных в срок из-за отсутствия средств на корреспондентском счете;</w:t>
            </w:r>
          </w:p>
          <w:p>
            <w:pPr>
              <w:pStyle w:val="0"/>
              <w:ind w:firstLine="283"/>
              <w:jc w:val="both"/>
            </w:pPr>
            <w:r>
              <w:rPr>
                <w:sz w:val="20"/>
              </w:rPr>
              <w:t xml:space="preserve">отражать в учете межбанковские расчеты;</w:t>
            </w:r>
          </w:p>
          <w:p>
            <w:pPr>
              <w:pStyle w:val="0"/>
              <w:ind w:firstLine="283"/>
              <w:jc w:val="both"/>
            </w:pPr>
            <w:r>
              <w:rPr>
                <w:sz w:val="20"/>
              </w:rPr>
              <w:t xml:space="preserve">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pPr>
              <w:pStyle w:val="0"/>
              <w:ind w:firstLine="283"/>
              <w:jc w:val="both"/>
            </w:pPr>
            <w:r>
              <w:rPr>
                <w:sz w:val="20"/>
              </w:rPr>
              <w:t xml:space="preserve">проводить конверсионные операции по счетам клиентов;</w:t>
            </w:r>
          </w:p>
          <w:p>
            <w:pPr>
              <w:pStyle w:val="0"/>
              <w:ind w:firstLine="283"/>
              <w:jc w:val="both"/>
            </w:pPr>
            <w:r>
              <w:rPr>
                <w:sz w:val="20"/>
              </w:rPr>
              <w:t xml:space="preserve">рассчитывать и взыскивать суммы вознаграждения за проведение международных расчетов и конверсионных операций;</w:t>
            </w:r>
          </w:p>
          <w:p>
            <w:pPr>
              <w:pStyle w:val="0"/>
              <w:ind w:firstLine="283"/>
              <w:jc w:val="both"/>
            </w:pPr>
            <w:r>
              <w:rPr>
                <w:sz w:val="20"/>
              </w:rPr>
              <w:t xml:space="preserve">осуществлять контроль за репатриацией валютной выручки;</w:t>
            </w:r>
          </w:p>
          <w:p>
            <w:pPr>
              <w:pStyle w:val="0"/>
              <w:ind w:firstLine="283"/>
              <w:jc w:val="both"/>
            </w:pPr>
            <w:r>
              <w:rPr>
                <w:sz w:val="20"/>
              </w:rPr>
              <w:t xml:space="preserve">консультировать клиентов по вопросам открытия банковских счетов, расчетным операциям, операциям с использованием различных видов платежных карт;</w:t>
            </w:r>
          </w:p>
          <w:p>
            <w:pPr>
              <w:pStyle w:val="0"/>
              <w:ind w:firstLine="283"/>
              <w:jc w:val="both"/>
            </w:pPr>
            <w:r>
              <w:rPr>
                <w:sz w:val="20"/>
              </w:rPr>
              <w:t xml:space="preserve">оформлять выдачу клиентам платежных карт;</w:t>
            </w:r>
          </w:p>
          <w:p>
            <w:pPr>
              <w:pStyle w:val="0"/>
              <w:ind w:firstLine="283"/>
              <w:jc w:val="both"/>
            </w:pPr>
            <w:r>
              <w:rPr>
                <w:sz w:val="20"/>
              </w:rPr>
              <w:t xml:space="preserve">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pPr>
              <w:pStyle w:val="0"/>
              <w:ind w:firstLine="283"/>
              <w:jc w:val="both"/>
            </w:pPr>
            <w:r>
              <w:rPr>
                <w:sz w:val="20"/>
              </w:rPr>
              <w:t xml:space="preserve">использовать специализированное программное обеспечение для расчетного обслуживания клиентов, совершения межбанковских расчетов и операций с платежными картами;</w:t>
            </w:r>
          </w:p>
        </w:tc>
      </w:tr>
      <w:tr>
        <w:tc>
          <w:tcPr>
            <w:tcW w:w="2381" w:type="dxa"/>
            <w:tcBorders>
              <w:top w:val="nil"/>
              <w:bottom w:val="single" w:sz="4"/>
            </w:tcBorders>
          </w:tcPr>
          <w:p>
            <w:pPr>
              <w:pStyle w:val="0"/>
            </w:pPr>
            <w:r>
              <w:rPr>
                <w:sz w:val="20"/>
              </w:rPr>
            </w:r>
          </w:p>
        </w:tc>
        <w:tc>
          <w:tcPr>
            <w:tcW w:w="6689" w:type="dxa"/>
            <w:tcBorders>
              <w:top w:val="nil"/>
              <w:bottom w:val="single" w:sz="4"/>
            </w:tcBorders>
          </w:tcPr>
          <w:p>
            <w:pPr>
              <w:pStyle w:val="0"/>
              <w:ind w:firstLine="283"/>
              <w:jc w:val="both"/>
            </w:pPr>
            <w:r>
              <w:rPr>
                <w:sz w:val="20"/>
              </w:rPr>
              <w:t xml:space="preserve">использовать специализированное программное обеспечение и программно-аппаратный комплекс для работы с расчетной (платежной) документацией и соответствующей информацией.</w:t>
            </w:r>
          </w:p>
          <w:p>
            <w:pPr>
              <w:pStyle w:val="0"/>
            </w:pPr>
            <w:r>
              <w:rPr>
                <w:sz w:val="20"/>
              </w:rPr>
              <w:t xml:space="preserve">иметь практический опыт в:</w:t>
            </w:r>
          </w:p>
          <w:p>
            <w:pPr>
              <w:pStyle w:val="0"/>
              <w:ind w:firstLine="283"/>
              <w:jc w:val="both"/>
            </w:pPr>
            <w:r>
              <w:rPr>
                <w:sz w:val="20"/>
              </w:rPr>
              <w:t xml:space="preserve">проведении расчетных операций.</w:t>
            </w:r>
          </w:p>
        </w:tc>
      </w:tr>
      <w:tr>
        <w:tc>
          <w:tcPr>
            <w:tcW w:w="2381" w:type="dxa"/>
            <w:tcBorders>
              <w:top w:val="single" w:sz="4"/>
              <w:bottom w:val="nil"/>
            </w:tcBorders>
          </w:tcPr>
          <w:p>
            <w:pPr>
              <w:pStyle w:val="0"/>
              <w:jc w:val="both"/>
            </w:pPr>
            <w:r>
              <w:rPr>
                <w:sz w:val="20"/>
              </w:rPr>
              <w:t xml:space="preserve">Осуществление кредитных операций</w:t>
            </w:r>
          </w:p>
        </w:tc>
        <w:tc>
          <w:tcPr>
            <w:tcW w:w="6689" w:type="dxa"/>
            <w:tcBorders>
              <w:top w:val="single" w:sz="4"/>
              <w:bottom w:val="nil"/>
            </w:tcBorders>
          </w:tcPr>
          <w:p>
            <w:pPr>
              <w:pStyle w:val="0"/>
            </w:pPr>
            <w:r>
              <w:rPr>
                <w:sz w:val="20"/>
              </w:rPr>
              <w:t xml:space="preserve">знать:</w:t>
            </w:r>
          </w:p>
          <w:p>
            <w:pPr>
              <w:pStyle w:val="0"/>
              <w:ind w:firstLine="283"/>
              <w:jc w:val="both"/>
            </w:pPr>
            <w:r>
              <w:rPr>
                <w:sz w:val="20"/>
              </w:rPr>
              <w:t xml:space="preserve">нормативные правовые акты, регулирующие осуществление кредитных операций и обеспечение кредитных обязательств;</w:t>
            </w:r>
          </w:p>
          <w:p>
            <w:pPr>
              <w:pStyle w:val="0"/>
              <w:ind w:firstLine="283"/>
              <w:jc w:val="both"/>
            </w:pPr>
            <w:r>
              <w:rPr>
                <w:sz w:val="20"/>
              </w:rPr>
              <w:t xml:space="preserve">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pPr>
              <w:pStyle w:val="0"/>
              <w:ind w:firstLine="283"/>
              <w:jc w:val="both"/>
            </w:pPr>
            <w:r>
              <w:rPr>
                <w:sz w:val="20"/>
              </w:rPr>
              <w:t xml:space="preserve">законодательство Российской Федерации о персональных данных;</w:t>
            </w:r>
          </w:p>
          <w:p>
            <w:pPr>
              <w:pStyle w:val="0"/>
              <w:ind w:firstLine="283"/>
              <w:jc w:val="both"/>
            </w:pPr>
            <w:r>
              <w:rPr>
                <w:sz w:val="20"/>
              </w:rPr>
              <w:t xml:space="preserve">нормативные документы Банка России об идентификации клиентов и внутреннем контроле (аудите);</w:t>
            </w:r>
          </w:p>
          <w:p>
            <w:pPr>
              <w:pStyle w:val="0"/>
              <w:ind w:firstLine="283"/>
              <w:jc w:val="both"/>
            </w:pPr>
            <w:r>
              <w:rPr>
                <w:sz w:val="20"/>
              </w:rPr>
              <w:t xml:space="preserve">рекомендации Ассоциации региональных банков России по вопросам определения кредитоспособности заемщиков;</w:t>
            </w:r>
          </w:p>
          <w:p>
            <w:pPr>
              <w:pStyle w:val="0"/>
              <w:ind w:firstLine="283"/>
              <w:jc w:val="both"/>
            </w:pPr>
            <w:r>
              <w:rPr>
                <w:sz w:val="20"/>
              </w:rPr>
              <w:t xml:space="preserve">порядок взаимодействия с бюро кредитных историй;</w:t>
            </w:r>
          </w:p>
          <w:p>
            <w:pPr>
              <w:pStyle w:val="0"/>
              <w:ind w:firstLine="283"/>
              <w:jc w:val="both"/>
            </w:pPr>
            <w:r>
              <w:rPr>
                <w:sz w:val="20"/>
              </w:rPr>
              <w:t xml:space="preserve">законодательство Российской Федерации о защите прав потребителей, в том числе потребителей финансовых услуг;</w:t>
            </w:r>
          </w:p>
          <w:p>
            <w:pPr>
              <w:pStyle w:val="0"/>
              <w:ind w:firstLine="283"/>
              <w:jc w:val="both"/>
            </w:pPr>
            <w:r>
              <w:rPr>
                <w:sz w:val="20"/>
              </w:rPr>
              <w:t xml:space="preserve">законодательство Российской Федерации о залогах и поручительстве;</w:t>
            </w:r>
          </w:p>
          <w:p>
            <w:pPr>
              <w:pStyle w:val="0"/>
              <w:ind w:firstLine="283"/>
              <w:jc w:val="both"/>
            </w:pPr>
            <w:r>
              <w:rPr>
                <w:sz w:val="20"/>
              </w:rPr>
              <w:t xml:space="preserve">гражданское законодательство Российской Федерации об ответственности за неисполнение условий договора;</w:t>
            </w:r>
          </w:p>
          <w:p>
            <w:pPr>
              <w:pStyle w:val="0"/>
              <w:ind w:firstLine="283"/>
              <w:jc w:val="both"/>
            </w:pPr>
            <w:r>
              <w:rPr>
                <w:sz w:val="20"/>
              </w:rPr>
              <w:t xml:space="preserve">законодательство Российской Федерации об ипотеке;</w:t>
            </w:r>
          </w:p>
          <w:p>
            <w:pPr>
              <w:pStyle w:val="0"/>
              <w:ind w:firstLine="283"/>
              <w:jc w:val="both"/>
            </w:pPr>
            <w:r>
              <w:rPr>
                <w:sz w:val="20"/>
              </w:rPr>
              <w:t xml:space="preserve">законодательство Российской Федерации о государственной регистрации прав на недвижимое имущество и сделок с ним;</w:t>
            </w:r>
          </w:p>
          <w:p>
            <w:pPr>
              <w:pStyle w:val="0"/>
              <w:ind w:firstLine="283"/>
              <w:jc w:val="both"/>
            </w:pPr>
            <w:r>
              <w:rPr>
                <w:sz w:val="20"/>
              </w:rPr>
              <w:t xml:space="preserve">нормативные документы Банка России и внутренние документы банка о порядке формирования кредитными организациями резервов на возможные потери;</w:t>
            </w:r>
          </w:p>
          <w:p>
            <w:pPr>
              <w:pStyle w:val="0"/>
              <w:ind w:firstLine="283"/>
              <w:jc w:val="both"/>
            </w:pPr>
            <w:r>
              <w:rPr>
                <w:sz w:val="20"/>
              </w:rPr>
              <w:t xml:space="preserve">способы и порядок предоставления и погашения различных видов кредитов;</w:t>
            </w:r>
          </w:p>
          <w:p>
            <w:pPr>
              <w:pStyle w:val="0"/>
              <w:ind w:firstLine="283"/>
              <w:jc w:val="both"/>
            </w:pPr>
            <w:r>
              <w:rPr>
                <w:sz w:val="20"/>
              </w:rPr>
              <w:t xml:space="preserve">способы обеспечения возвратности кредита, виды залога;</w:t>
            </w:r>
          </w:p>
          <w:p>
            <w:pPr>
              <w:pStyle w:val="0"/>
              <w:ind w:firstLine="283"/>
              <w:jc w:val="both"/>
            </w:pPr>
            <w:r>
              <w:rPr>
                <w:sz w:val="20"/>
              </w:rPr>
              <w:t xml:space="preserve">методы оценки залоговой стоимости, ликвидности предмета залога;</w:t>
            </w:r>
          </w:p>
          <w:p>
            <w:pPr>
              <w:pStyle w:val="0"/>
              <w:ind w:firstLine="283"/>
              <w:jc w:val="both"/>
            </w:pPr>
            <w:r>
              <w:rPr>
                <w:sz w:val="20"/>
              </w:rPr>
              <w:t xml:space="preserve">требования, предъявляемые банком к потенциальному заемщику;</w:t>
            </w:r>
          </w:p>
          <w:p>
            <w:pPr>
              <w:pStyle w:val="0"/>
              <w:ind w:firstLine="283"/>
              <w:jc w:val="both"/>
            </w:pPr>
            <w:r>
              <w:rPr>
                <w:sz w:val="20"/>
              </w:rPr>
              <w:t xml:space="preserve">состав и содержание основных источников информации о клиенте;</w:t>
            </w:r>
          </w:p>
          <w:p>
            <w:pPr>
              <w:pStyle w:val="0"/>
              <w:ind w:firstLine="283"/>
              <w:jc w:val="both"/>
            </w:pPr>
            <w:r>
              <w:rPr>
                <w:sz w:val="20"/>
              </w:rPr>
              <w:t xml:space="preserve">методы оценки платежеспособности физического лица, системы кредитного скоринга;</w:t>
            </w:r>
          </w:p>
          <w:p>
            <w:pPr>
              <w:pStyle w:val="0"/>
              <w:ind w:firstLine="283"/>
              <w:jc w:val="both"/>
            </w:pPr>
            <w:r>
              <w:rPr>
                <w:sz w:val="20"/>
              </w:rPr>
              <w:t xml:space="preserve">локальные нормативные акты и методические документы, касающиеся реструктуризации и рефинансирования задолженности физических лиц;</w:t>
            </w:r>
          </w:p>
          <w:p>
            <w:pPr>
              <w:pStyle w:val="0"/>
              <w:ind w:firstLine="283"/>
              <w:jc w:val="both"/>
            </w:pPr>
            <w:r>
              <w:rPr>
                <w:sz w:val="20"/>
              </w:rPr>
              <w:t xml:space="preserve">бизнес-культуру потребительского кредитования;</w:t>
            </w:r>
          </w:p>
          <w:p>
            <w:pPr>
              <w:pStyle w:val="0"/>
              <w:ind w:firstLine="283"/>
              <w:jc w:val="both"/>
            </w:pPr>
            <w:r>
              <w:rPr>
                <w:sz w:val="20"/>
              </w:rPr>
              <w:t xml:space="preserve">методы андеррайтинга кредитных заявок клиентов;</w:t>
            </w:r>
          </w:p>
          <w:p>
            <w:pPr>
              <w:pStyle w:val="0"/>
              <w:ind w:firstLine="283"/>
              <w:jc w:val="both"/>
            </w:pPr>
            <w:r>
              <w:rPr>
                <w:sz w:val="20"/>
              </w:rPr>
              <w:t xml:space="preserve">методы андеррайтинга предмета ипотеки;</w:t>
            </w:r>
          </w:p>
          <w:p>
            <w:pPr>
              <w:pStyle w:val="0"/>
              <w:ind w:firstLine="283"/>
              <w:jc w:val="both"/>
            </w:pPr>
            <w:r>
              <w:rPr>
                <w:sz w:val="20"/>
              </w:rPr>
              <w:t xml:space="preserve">методы определения класса кредитоспособности юридического лица;</w:t>
            </w:r>
          </w:p>
          <w:p>
            <w:pPr>
              <w:pStyle w:val="0"/>
              <w:ind w:firstLine="283"/>
              <w:jc w:val="both"/>
            </w:pPr>
            <w:r>
              <w:rPr>
                <w:sz w:val="20"/>
              </w:rPr>
              <w:t xml:space="preserve">содержание кредитного договора, порядок его заключения, изменения условий и расторжения;</w:t>
            </w:r>
          </w:p>
          <w:p>
            <w:pPr>
              <w:pStyle w:val="0"/>
              <w:ind w:firstLine="283"/>
              <w:jc w:val="both"/>
            </w:pPr>
            <w:r>
              <w:rPr>
                <w:sz w:val="20"/>
              </w:rPr>
              <w:t xml:space="preserve">состав кредитного дела и порядок его ведения;</w:t>
            </w:r>
          </w:p>
          <w:p>
            <w:pPr>
              <w:pStyle w:val="0"/>
              <w:ind w:firstLine="283"/>
              <w:jc w:val="both"/>
            </w:pPr>
            <w:r>
              <w:rPr>
                <w:sz w:val="20"/>
              </w:rPr>
              <w:t xml:space="preserve">способы и порядок начисления и погашения процентов по кредитам;</w:t>
            </w:r>
          </w:p>
          <w:p>
            <w:pPr>
              <w:pStyle w:val="0"/>
              <w:ind w:firstLine="283"/>
              <w:jc w:val="both"/>
            </w:pPr>
            <w:r>
              <w:rPr>
                <w:sz w:val="20"/>
              </w:rPr>
              <w:t xml:space="preserve">порядок осуществления контроля своевременности и полноты поступления платежей по кредиту и учета просроченных платежей;</w:t>
            </w:r>
          </w:p>
          <w:p>
            <w:pPr>
              <w:pStyle w:val="0"/>
              <w:ind w:firstLine="283"/>
              <w:jc w:val="both"/>
            </w:pPr>
            <w:r>
              <w:rPr>
                <w:sz w:val="20"/>
              </w:rPr>
              <w:t xml:space="preserve">критерии определения проблемного кредита;</w:t>
            </w:r>
          </w:p>
          <w:p>
            <w:pPr>
              <w:pStyle w:val="0"/>
              <w:ind w:firstLine="283"/>
              <w:jc w:val="both"/>
            </w:pPr>
            <w:r>
              <w:rPr>
                <w:sz w:val="20"/>
              </w:rPr>
              <w:t xml:space="preserve">типовые причины неисполнения условий кредитного договора и способы погашения просроченной задолженности;</w:t>
            </w:r>
          </w:p>
          <w:p>
            <w:pPr>
              <w:pStyle w:val="0"/>
              <w:ind w:firstLine="283"/>
              <w:jc w:val="both"/>
            </w:pPr>
            <w:r>
              <w:rPr>
                <w:sz w:val="20"/>
              </w:rPr>
              <w:t xml:space="preserve">меры, принимаемые банком при нарушении условий кредитного договора;</w:t>
            </w:r>
          </w:p>
          <w:p>
            <w:pPr>
              <w:pStyle w:val="0"/>
              <w:ind w:firstLine="283"/>
              <w:jc w:val="both"/>
            </w:pPr>
            <w:r>
              <w:rPr>
                <w:sz w:val="20"/>
              </w:rPr>
              <w:t xml:space="preserve">отечественную и международную практику взыскания задолженности;</w:t>
            </w:r>
          </w:p>
          <w:p>
            <w:pPr>
              <w:pStyle w:val="0"/>
              <w:ind w:firstLine="283"/>
              <w:jc w:val="both"/>
            </w:pPr>
            <w:r>
              <w:rPr>
                <w:sz w:val="20"/>
              </w:rPr>
              <w:t xml:space="preserve">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r>
        <w:tc>
          <w:tcPr>
            <w:tcW w:w="2381" w:type="dxa"/>
            <w:tcBorders>
              <w:top w:val="nil"/>
              <w:bottom w:val="nil"/>
            </w:tcBorders>
          </w:tcPr>
          <w:p>
            <w:pPr>
              <w:pStyle w:val="0"/>
            </w:pPr>
            <w:r>
              <w:rPr>
                <w:sz w:val="20"/>
              </w:rPr>
            </w:r>
          </w:p>
        </w:tc>
        <w:tc>
          <w:tcPr>
            <w:tcW w:w="6689" w:type="dxa"/>
            <w:tcBorders>
              <w:top w:val="nil"/>
              <w:bottom w:val="nil"/>
            </w:tcBorders>
          </w:tcPr>
          <w:p>
            <w:pPr>
              <w:pStyle w:val="0"/>
              <w:ind w:firstLine="283"/>
              <w:jc w:val="both"/>
            </w:pPr>
            <w:r>
              <w:rPr>
                <w:sz w:val="20"/>
              </w:rPr>
              <w:t xml:space="preserve">порядок оформления и учета межбанковских кредитов;</w:t>
            </w:r>
          </w:p>
          <w:p>
            <w:pPr>
              <w:pStyle w:val="0"/>
              <w:ind w:firstLine="283"/>
              <w:jc w:val="both"/>
            </w:pPr>
            <w:r>
              <w:rPr>
                <w:sz w:val="20"/>
              </w:rPr>
              <w:t xml:space="preserve">особенности делопроизводства и документооборот на межбанковском рынке;</w:t>
            </w:r>
          </w:p>
          <w:p>
            <w:pPr>
              <w:pStyle w:val="0"/>
              <w:ind w:firstLine="283"/>
              <w:jc w:val="both"/>
            </w:pPr>
            <w:r>
              <w:rPr>
                <w:sz w:val="20"/>
              </w:rPr>
              <w:t xml:space="preserve">основные условия получения и погашения кредитов, предоставляемых Банком России;</w:t>
            </w:r>
          </w:p>
          <w:p>
            <w:pPr>
              <w:pStyle w:val="0"/>
              <w:ind w:firstLine="283"/>
              <w:jc w:val="both"/>
            </w:pPr>
            <w:r>
              <w:rPr>
                <w:sz w:val="20"/>
              </w:rPr>
              <w:t xml:space="preserve">порядок оценки кредитного риска и определения суммы создаваемого резерва по выданному кредиту;</w:t>
            </w:r>
          </w:p>
          <w:p>
            <w:pPr>
              <w:pStyle w:val="0"/>
              <w:ind w:firstLine="283"/>
              <w:jc w:val="both"/>
            </w:pPr>
            <w:r>
              <w:rPr>
                <w:sz w:val="20"/>
              </w:rPr>
              <w:t xml:space="preserve">порядок и отражение в учете формирования и регулирования резервов на возможные потери по кредитам;</w:t>
            </w:r>
          </w:p>
          <w:p>
            <w:pPr>
              <w:pStyle w:val="0"/>
              <w:ind w:firstLine="283"/>
              <w:jc w:val="both"/>
            </w:pPr>
            <w:r>
              <w:rPr>
                <w:sz w:val="20"/>
              </w:rPr>
              <w:t xml:space="preserve">порядок и отражение в учете списания нереальных для взыскания кредитов;</w:t>
            </w:r>
          </w:p>
          <w:p>
            <w:pPr>
              <w:pStyle w:val="0"/>
              <w:ind w:firstLine="283"/>
              <w:jc w:val="both"/>
            </w:pPr>
            <w:r>
              <w:rPr>
                <w:sz w:val="20"/>
              </w:rPr>
              <w:t xml:space="preserve">типичные нарушения при осуществлении кредитных операций.</w:t>
            </w:r>
          </w:p>
          <w:p>
            <w:pPr>
              <w:pStyle w:val="0"/>
            </w:pPr>
            <w:r>
              <w:rPr>
                <w:sz w:val="20"/>
              </w:rPr>
              <w:t xml:space="preserve">уметь:</w:t>
            </w:r>
          </w:p>
          <w:p>
            <w:pPr>
              <w:pStyle w:val="0"/>
              <w:ind w:firstLine="283"/>
              <w:jc w:val="both"/>
            </w:pPr>
            <w:r>
              <w:rPr>
                <w:sz w:val="20"/>
              </w:rPr>
              <w:t xml:space="preserve">консультировать заемщиков по условиям предоставления и порядку погашения кредитов;</w:t>
            </w:r>
          </w:p>
          <w:p>
            <w:pPr>
              <w:pStyle w:val="0"/>
              <w:ind w:firstLine="283"/>
              <w:jc w:val="both"/>
            </w:pPr>
            <w:r>
              <w:rPr>
                <w:sz w:val="20"/>
              </w:rPr>
              <w:t xml:space="preserve">анализировать финансовое положение заемщика - юридического лица и технико-экономическое обоснование кредита;</w:t>
            </w:r>
          </w:p>
          <w:p>
            <w:pPr>
              <w:pStyle w:val="0"/>
              <w:ind w:firstLine="283"/>
              <w:jc w:val="both"/>
            </w:pPr>
            <w:r>
              <w:rPr>
                <w:sz w:val="20"/>
              </w:rPr>
              <w:t xml:space="preserve">определять платежеспособность физического лица;</w:t>
            </w:r>
          </w:p>
          <w:p>
            <w:pPr>
              <w:pStyle w:val="0"/>
              <w:ind w:firstLine="283"/>
              <w:jc w:val="both"/>
            </w:pPr>
            <w:r>
              <w:rPr>
                <w:sz w:val="20"/>
              </w:rPr>
              <w:t xml:space="preserve">оценивать качество обеспечения и кредитные риски по потребительским кредитам;</w:t>
            </w:r>
          </w:p>
          <w:p>
            <w:pPr>
              <w:pStyle w:val="0"/>
              <w:ind w:firstLine="283"/>
              <w:jc w:val="both"/>
            </w:pPr>
            <w:r>
              <w:rPr>
                <w:sz w:val="20"/>
              </w:rPr>
              <w:t xml:space="preserve">проверять полноту и подлинность документов заемщика для получения кредитов;</w:t>
            </w:r>
          </w:p>
          <w:p>
            <w:pPr>
              <w:pStyle w:val="0"/>
              <w:ind w:firstLine="283"/>
              <w:jc w:val="both"/>
            </w:pPr>
            <w:r>
              <w:rPr>
                <w:sz w:val="20"/>
              </w:rPr>
              <w:t xml:space="preserve">проверять качество и достаточность обеспечения возвратности кредита;</w:t>
            </w:r>
          </w:p>
          <w:p>
            <w:pPr>
              <w:pStyle w:val="0"/>
              <w:ind w:firstLine="283"/>
              <w:jc w:val="both"/>
            </w:pPr>
            <w:r>
              <w:rPr>
                <w:sz w:val="20"/>
              </w:rPr>
              <w:t xml:space="preserve">составлять заключение о возможности предоставления кредита;</w:t>
            </w:r>
          </w:p>
          <w:p>
            <w:pPr>
              <w:pStyle w:val="0"/>
              <w:ind w:firstLine="283"/>
              <w:jc w:val="both"/>
            </w:pPr>
            <w:r>
              <w:rPr>
                <w:sz w:val="20"/>
              </w:rPr>
              <w:t xml:space="preserve">оперативно принимать решения по предложению клиенту дополнительного банковского продукта (кросс-продажа);</w:t>
            </w:r>
          </w:p>
          <w:p>
            <w:pPr>
              <w:pStyle w:val="0"/>
              <w:ind w:firstLine="283"/>
              <w:jc w:val="both"/>
            </w:pPr>
            <w:r>
              <w:rPr>
                <w:sz w:val="20"/>
              </w:rPr>
              <w:t xml:space="preserve">проводить андеррайтинг кредитных заявок клиентов;</w:t>
            </w:r>
          </w:p>
          <w:p>
            <w:pPr>
              <w:pStyle w:val="0"/>
              <w:ind w:firstLine="283"/>
              <w:jc w:val="both"/>
            </w:pPr>
            <w:r>
              <w:rPr>
                <w:sz w:val="20"/>
              </w:rPr>
              <w:t xml:space="preserve">проводить андеррайтинг предмета ипотеки;</w:t>
            </w:r>
          </w:p>
          <w:p>
            <w:pPr>
              <w:pStyle w:val="0"/>
              <w:ind w:firstLine="283"/>
              <w:jc w:val="both"/>
            </w:pPr>
            <w:r>
              <w:rPr>
                <w:sz w:val="20"/>
              </w:rPr>
              <w:t xml:space="preserve">составлять договор о залоге;</w:t>
            </w:r>
          </w:p>
          <w:p>
            <w:pPr>
              <w:pStyle w:val="0"/>
              <w:ind w:firstLine="283"/>
              <w:jc w:val="both"/>
            </w:pPr>
            <w:r>
              <w:rPr>
                <w:sz w:val="20"/>
              </w:rPr>
              <w:t xml:space="preserve">оформлять пакет документов для заключения договора о залоге;</w:t>
            </w:r>
          </w:p>
          <w:p>
            <w:pPr>
              <w:pStyle w:val="0"/>
              <w:ind w:firstLine="283"/>
              <w:jc w:val="both"/>
            </w:pPr>
            <w:r>
              <w:rPr>
                <w:sz w:val="20"/>
              </w:rPr>
              <w:t xml:space="preserve">составлять график платежей по кредиту и процентам, контролировать своевременность и полноту поступления платежей;</w:t>
            </w:r>
          </w:p>
          <w:p>
            <w:pPr>
              <w:pStyle w:val="0"/>
              <w:ind w:firstLine="283"/>
              <w:jc w:val="both"/>
            </w:pPr>
            <w:r>
              <w:rPr>
                <w:sz w:val="20"/>
              </w:rPr>
              <w:t xml:space="preserve">оформлять комплект документов на открытие счетов и выдачу кредитов различных видов;</w:t>
            </w:r>
          </w:p>
          <w:p>
            <w:pPr>
              <w:pStyle w:val="0"/>
              <w:ind w:firstLine="283"/>
              <w:jc w:val="both"/>
            </w:pPr>
            <w:r>
              <w:rPr>
                <w:sz w:val="20"/>
              </w:rPr>
              <w:t xml:space="preserve">оформлять выписки по лицевым счетам заемщиков и разъяснять им содержащиеся в выписках данные;</w:t>
            </w:r>
          </w:p>
          <w:p>
            <w:pPr>
              <w:pStyle w:val="0"/>
              <w:ind w:firstLine="283"/>
              <w:jc w:val="both"/>
            </w:pPr>
            <w:r>
              <w:rPr>
                <w:sz w:val="20"/>
              </w:rPr>
              <w:t xml:space="preserve">формировать и вести кредитные дела;</w:t>
            </w:r>
          </w:p>
          <w:p>
            <w:pPr>
              <w:pStyle w:val="0"/>
              <w:ind w:firstLine="283"/>
              <w:jc w:val="both"/>
            </w:pPr>
            <w:r>
              <w:rPr>
                <w:sz w:val="20"/>
              </w:rPr>
              <w:t xml:space="preserve">составлять акты по итогам проверок сохранности обеспечения;</w:t>
            </w:r>
          </w:p>
          <w:p>
            <w:pPr>
              <w:pStyle w:val="0"/>
              <w:ind w:firstLine="283"/>
              <w:jc w:val="both"/>
            </w:pPr>
            <w:r>
              <w:rPr>
                <w:sz w:val="20"/>
              </w:rPr>
              <w:t xml:space="preserve">определять возможность предоставления межбанковского кредита с учетом финансового положения контрагента;</w:t>
            </w:r>
          </w:p>
          <w:p>
            <w:pPr>
              <w:pStyle w:val="0"/>
              <w:ind w:firstLine="283"/>
              <w:jc w:val="both"/>
            </w:pPr>
            <w:r>
              <w:rPr>
                <w:sz w:val="20"/>
              </w:rPr>
              <w:t xml:space="preserve">определять достаточность обеспечения возвратности межбанковского кредита;</w:t>
            </w:r>
          </w:p>
          <w:p>
            <w:pPr>
              <w:pStyle w:val="0"/>
              <w:ind w:firstLine="283"/>
              <w:jc w:val="both"/>
            </w:pPr>
            <w:r>
              <w:rPr>
                <w:sz w:val="20"/>
              </w:rPr>
              <w:t xml:space="preserve">пользоваться оперативной информацией о ставках по рублевым и валютным межбанковским кредитам, получаемой по телекоммуникационным каналам;</w:t>
            </w:r>
          </w:p>
          <w:p>
            <w:pPr>
              <w:pStyle w:val="0"/>
              <w:ind w:firstLine="283"/>
              <w:jc w:val="both"/>
            </w:pPr>
            <w:r>
              <w:rPr>
                <w:sz w:val="20"/>
              </w:rPr>
              <w:t xml:space="preserve">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pPr>
              <w:pStyle w:val="0"/>
              <w:ind w:firstLine="283"/>
              <w:jc w:val="both"/>
            </w:pPr>
            <w:r>
              <w:rPr>
                <w:sz w:val="20"/>
              </w:rPr>
              <w:t xml:space="preserve">пользоваться справочными информационными базами данных, необходимых для сотрудничества на межбанковском рынке;</w:t>
            </w:r>
          </w:p>
          <w:p>
            <w:pPr>
              <w:pStyle w:val="0"/>
              <w:ind w:firstLine="283"/>
              <w:jc w:val="both"/>
            </w:pPr>
            <w:r>
              <w:rPr>
                <w:sz w:val="20"/>
              </w:rPr>
              <w:t xml:space="preserve">оформлять и отражать в учете операции по выдаче кредитов физическим и юридическим лицам, погашению ими кредитов;</w:t>
            </w:r>
          </w:p>
          <w:p>
            <w:pPr>
              <w:pStyle w:val="0"/>
              <w:ind w:firstLine="283"/>
              <w:jc w:val="both"/>
            </w:pPr>
            <w:r>
              <w:rPr>
                <w:sz w:val="20"/>
              </w:rPr>
              <w:t xml:space="preserve">оформлять и вести учет обеспечения по предоставленным кредитам;</w:t>
            </w:r>
          </w:p>
        </w:tc>
      </w:tr>
      <w:tr>
        <w:tc>
          <w:tcPr>
            <w:tcW w:w="2381" w:type="dxa"/>
            <w:tcBorders>
              <w:top w:val="nil"/>
              <w:bottom w:val="single" w:sz="4"/>
            </w:tcBorders>
          </w:tcPr>
          <w:p>
            <w:pPr>
              <w:pStyle w:val="0"/>
            </w:pPr>
            <w:r>
              <w:rPr>
                <w:sz w:val="20"/>
              </w:rPr>
            </w:r>
          </w:p>
        </w:tc>
        <w:tc>
          <w:tcPr>
            <w:tcW w:w="6689" w:type="dxa"/>
            <w:tcBorders>
              <w:top w:val="nil"/>
              <w:bottom w:val="single" w:sz="4"/>
            </w:tcBorders>
          </w:tcPr>
          <w:p>
            <w:pPr>
              <w:pStyle w:val="0"/>
              <w:ind w:firstLine="283"/>
              <w:jc w:val="both"/>
            </w:pPr>
            <w:r>
              <w:rPr>
                <w:sz w:val="20"/>
              </w:rPr>
              <w:t xml:space="preserve">оформлять и отражать в учете сделки по предоставлению и получению кредитов на рынке межбанковского кредита;</w:t>
            </w:r>
          </w:p>
          <w:p>
            <w:pPr>
              <w:pStyle w:val="0"/>
              <w:ind w:firstLine="283"/>
              <w:jc w:val="both"/>
            </w:pPr>
            <w:r>
              <w:rPr>
                <w:sz w:val="20"/>
              </w:rPr>
              <w:t xml:space="preserve">оформлять и отражать в учете начисление и взыскание процентов по кредитам;</w:t>
            </w:r>
          </w:p>
          <w:p>
            <w:pPr>
              <w:pStyle w:val="0"/>
              <w:ind w:firstLine="283"/>
              <w:jc w:val="both"/>
            </w:pPr>
            <w:r>
              <w:rPr>
                <w:sz w:val="20"/>
              </w:rPr>
              <w:t xml:space="preserve">вести мониторинг финансового положения клиента;</w:t>
            </w:r>
          </w:p>
          <w:p>
            <w:pPr>
              <w:pStyle w:val="0"/>
              <w:ind w:firstLine="283"/>
              <w:jc w:val="both"/>
            </w:pPr>
            <w:r>
              <w:rPr>
                <w:sz w:val="20"/>
              </w:rPr>
              <w:t xml:space="preserve">контролировать соответствие и правильность исполнения залогодателем своих обязательств;</w:t>
            </w:r>
          </w:p>
          <w:p>
            <w:pPr>
              <w:pStyle w:val="0"/>
              <w:ind w:firstLine="283"/>
              <w:jc w:val="both"/>
            </w:pPr>
            <w:r>
              <w:rPr>
                <w:sz w:val="20"/>
              </w:rPr>
              <w:t xml:space="preserve">оценивать качество обслуживания долга и кредитный риск по выданным кредитам;</w:t>
            </w:r>
          </w:p>
          <w:p>
            <w:pPr>
              <w:pStyle w:val="0"/>
              <w:ind w:firstLine="283"/>
              <w:jc w:val="both"/>
            </w:pPr>
            <w:r>
              <w:rPr>
                <w:sz w:val="20"/>
              </w:rPr>
              <w:t xml:space="preserve">выявлять причины ненадлежащего исполнения условий договора и выставлять требования по оплате просроченной задолженности;</w:t>
            </w:r>
          </w:p>
          <w:p>
            <w:pPr>
              <w:pStyle w:val="0"/>
              <w:ind w:firstLine="283"/>
              <w:jc w:val="both"/>
            </w:pPr>
            <w:r>
              <w:rPr>
                <w:sz w:val="20"/>
              </w:rPr>
              <w:t xml:space="preserve">выбирать формы и методы взаимодействия с заемщиком, имеющим просроченную задолженность;</w:t>
            </w:r>
          </w:p>
          <w:p>
            <w:pPr>
              <w:pStyle w:val="0"/>
              <w:ind w:firstLine="283"/>
              <w:jc w:val="both"/>
            </w:pPr>
            <w:r>
              <w:rPr>
                <w:sz w:val="20"/>
              </w:rPr>
              <w:t xml:space="preserve">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pPr>
              <w:pStyle w:val="0"/>
              <w:ind w:firstLine="283"/>
              <w:jc w:val="both"/>
            </w:pPr>
            <w:r>
              <w:rPr>
                <w:sz w:val="20"/>
              </w:rPr>
              <w:t xml:space="preserve">направлять запросы в бюро кредитных историй в соответствии с требованиями действующего регламента;</w:t>
            </w:r>
          </w:p>
          <w:p>
            <w:pPr>
              <w:pStyle w:val="0"/>
              <w:ind w:firstLine="283"/>
              <w:jc w:val="both"/>
            </w:pPr>
            <w:r>
              <w:rPr>
                <w:sz w:val="20"/>
              </w:rPr>
              <w:t xml:space="preserve">находить контактные данные заемщика в открытых источниках и специализированных базах данных;</w:t>
            </w:r>
          </w:p>
          <w:p>
            <w:pPr>
              <w:pStyle w:val="0"/>
              <w:ind w:firstLine="283"/>
              <w:jc w:val="both"/>
            </w:pPr>
            <w:r>
              <w:rPr>
                <w:sz w:val="20"/>
              </w:rPr>
              <w:t xml:space="preserve">подбирать оптимальный способ погашения просроченной задолженности;</w:t>
            </w:r>
          </w:p>
          <w:p>
            <w:pPr>
              <w:pStyle w:val="0"/>
              <w:ind w:firstLine="283"/>
              <w:jc w:val="both"/>
            </w:pPr>
            <w:r>
              <w:rPr>
                <w:sz w:val="20"/>
              </w:rPr>
              <w:t xml:space="preserve">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pPr>
              <w:pStyle w:val="0"/>
              <w:ind w:firstLine="283"/>
              <w:jc w:val="both"/>
            </w:pPr>
            <w:r>
              <w:rPr>
                <w:sz w:val="20"/>
              </w:rPr>
              <w:t xml:space="preserve">рассчитывать основные параметры реструктуризации и рефинансирования потребительского кредита;</w:t>
            </w:r>
          </w:p>
          <w:p>
            <w:pPr>
              <w:pStyle w:val="0"/>
              <w:ind w:firstLine="283"/>
              <w:jc w:val="both"/>
            </w:pPr>
            <w:r>
              <w:rPr>
                <w:sz w:val="20"/>
              </w:rPr>
              <w:t xml:space="preserve">рассчитывать и отражать в учете сумму формируемого резерва;</w:t>
            </w:r>
          </w:p>
          <w:p>
            <w:pPr>
              <w:pStyle w:val="0"/>
              <w:ind w:firstLine="283"/>
              <w:jc w:val="both"/>
            </w:pPr>
            <w:r>
              <w:rPr>
                <w:sz w:val="20"/>
              </w:rPr>
              <w:t xml:space="preserve">рассчитывать и отражать в учете резерв по портфелю однородных кредитов;</w:t>
            </w:r>
          </w:p>
          <w:p>
            <w:pPr>
              <w:pStyle w:val="0"/>
              <w:ind w:firstLine="283"/>
              <w:jc w:val="both"/>
            </w:pPr>
            <w:r>
              <w:rPr>
                <w:sz w:val="20"/>
              </w:rPr>
              <w:t xml:space="preserve">оформлять и вести учет просроченных кредитов и просроченных процентов;</w:t>
            </w:r>
          </w:p>
          <w:p>
            <w:pPr>
              <w:pStyle w:val="0"/>
              <w:ind w:firstLine="283"/>
              <w:jc w:val="both"/>
            </w:pPr>
            <w:r>
              <w:rPr>
                <w:sz w:val="20"/>
              </w:rPr>
              <w:t xml:space="preserve">оформлять и вести учет списания просроченных кредитов и просроченных процентов;</w:t>
            </w:r>
          </w:p>
          <w:p>
            <w:pPr>
              <w:pStyle w:val="0"/>
              <w:ind w:firstLine="283"/>
              <w:jc w:val="both"/>
            </w:pPr>
            <w:r>
              <w:rPr>
                <w:sz w:val="20"/>
              </w:rPr>
              <w:t xml:space="preserve">использовать специализированное программное обеспечение для совершения операций по кредитованию.</w:t>
            </w:r>
          </w:p>
          <w:p>
            <w:pPr>
              <w:pStyle w:val="0"/>
            </w:pPr>
            <w:r>
              <w:rPr>
                <w:sz w:val="20"/>
              </w:rPr>
              <w:t xml:space="preserve">иметь практический опыт в:</w:t>
            </w:r>
          </w:p>
          <w:p>
            <w:pPr>
              <w:pStyle w:val="0"/>
              <w:ind w:firstLine="283"/>
              <w:jc w:val="both"/>
            </w:pPr>
            <w:r>
              <w:rPr>
                <w:sz w:val="20"/>
              </w:rPr>
              <w:t xml:space="preserve">осуществлении операций по кредитованию физических и юридических лиц.</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05.02.2018 N 67</w:t>
            <w:br/>
            <w:t>(ред. от 13.07.2021)</w:t>
            <w:br/>
            <w:t>"Об утверждении федерального государственного образова...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65F252D822264F00A39A86761CBC96FCCB060BEC8E3E8AA5A0827221834D179261B706E2CDD70C0C66018E339D65076A751A27AFAA56B07r9l2Q" TargetMode = "External"/>
	<Relationship Id="rId8" Type="http://schemas.openxmlformats.org/officeDocument/2006/relationships/hyperlink" Target="consultantplus://offline/ref=665F252D822264F00A39A86761CBC96FCDB16FB8C8E9E8AA5A0827221834D179261B706E2CDC79CDCC6018E339D65076A751A27AFAA56B07r9l2Q" TargetMode = "External"/>
	<Relationship Id="rId9" Type="http://schemas.openxmlformats.org/officeDocument/2006/relationships/hyperlink" Target="consultantplus://offline/ref=665F252D822264F00A39A86761CBC96FCEBF60B6CAE7E8AA5A0827221834D179261B706E2CDC79C8CC6018E339D65076A751A27AFAA56B07r9l2Q" TargetMode = "External"/>
	<Relationship Id="rId10" Type="http://schemas.openxmlformats.org/officeDocument/2006/relationships/hyperlink" Target="consultantplus://offline/ref=665F252D822264F00A39A86761CBC96FCCB060BEC8E3E8AA5A0827221834D179261B706E2CDD70C0C66018E339D65076A751A27AFAA56B07r9l2Q" TargetMode = "External"/>
	<Relationship Id="rId11" Type="http://schemas.openxmlformats.org/officeDocument/2006/relationships/hyperlink" Target="consultantplus://offline/ref=665F252D822264F00A39A86761CBC96FCDB86CB9CBE1E8AA5A0827221834D179261B706E2CDC79CFCA6018E339D65076A751A27AFAA56B07r9l2Q" TargetMode = "External"/>
	<Relationship Id="rId12" Type="http://schemas.openxmlformats.org/officeDocument/2006/relationships/hyperlink" Target="consultantplus://offline/ref=665F252D822264F00A39A86761CBC96FCDB86CB9CBE1E8AA5A0827221834D179261B706E2CDC79CDC96018E339D65076A751A27AFAA56B07r9l2Q" TargetMode = "External"/>
	<Relationship Id="rId13" Type="http://schemas.openxmlformats.org/officeDocument/2006/relationships/hyperlink" Target="consultantplus://offline/ref=665F252D822264F00A39A86761CBC96FCCB060BEC8E3E8AA5A0827221834D179261B706E2CDD70C0C76018E339D65076A751A27AFAA56B07r9l2Q" TargetMode = "External"/>
	<Relationship Id="rId14" Type="http://schemas.openxmlformats.org/officeDocument/2006/relationships/hyperlink" Target="consultantplus://offline/ref=665F252D822264F00A39A86761CBC96FCBBA6BBACAE7E8AA5A0827221834D179261B706E2CDC7BCDC76018E339D65076A751A27AFAA56B07r9l2Q" TargetMode = "External"/>
	<Relationship Id="rId15" Type="http://schemas.openxmlformats.org/officeDocument/2006/relationships/hyperlink" Target="consultantplus://offline/ref=665F252D822264F00A39A86761CBC96FCCBE6FB9C8E3E8AA5A0827221834D179261B706E2CDC70CFCD6018E339D65076A751A27AFAA56B07r9l2Q" TargetMode = "External"/>
	<Relationship Id="rId16" Type="http://schemas.openxmlformats.org/officeDocument/2006/relationships/hyperlink" Target="consultantplus://offline/ref=665F252D822264F00A39A86761CBC96FCCB060BEC8E3E8AA5A0827221834D179261B706E2CDE79C9CE6018E339D65076A751A27AFAA56B07r9l2Q" TargetMode = "External"/>
	<Relationship Id="rId17" Type="http://schemas.openxmlformats.org/officeDocument/2006/relationships/hyperlink" Target="consultantplus://offline/ref=665F252D822264F00A39A86761CBC96FCCB060BEC8E3E8AA5A0827221834D179261B706E2CDE79C9CC6018E339D65076A751A27AFAA56B07r9l2Q" TargetMode = "External"/>
	<Relationship Id="rId18" Type="http://schemas.openxmlformats.org/officeDocument/2006/relationships/hyperlink" Target="consultantplus://offline/ref=665F252D822264F00A39A86761CBC96FCCB060BEC8E3E8AA5A0827221834D179261B706E2CDE79C8CC6018E339D65076A751A27AFAA56B07r9l2Q" TargetMode = "External"/>
	<Relationship Id="rId19" Type="http://schemas.openxmlformats.org/officeDocument/2006/relationships/hyperlink" Target="consultantplus://offline/ref=665F252D822264F00A39A86761CBC96FCEBE60BCC9E6E8AA5A0827221834D179261B706E2CDC79C9C76018E339D65076A751A27AFAA56B07r9l2Q" TargetMode = "External"/>
	<Relationship Id="rId20" Type="http://schemas.openxmlformats.org/officeDocument/2006/relationships/hyperlink" Target="consultantplus://offline/ref=665F252D822264F00A39A86761CBC96FCEBE6FBBCCE2E8AA5A0827221834D179261B706E2CDC79C9C76018E339D65076A751A27AFAA56B07r9l2Q" TargetMode = "External"/>
	<Relationship Id="rId21" Type="http://schemas.openxmlformats.org/officeDocument/2006/relationships/hyperlink" Target="consultantplus://offline/ref=665F252D822264F00A39A86761CBC96FCDB96FB9C1E4E8AA5A0827221834D179261B706E2CDC79C9C76018E339D65076A751A27AFAA56B07r9l2Q" TargetMode = "External"/>
	<Relationship Id="rId22" Type="http://schemas.openxmlformats.org/officeDocument/2006/relationships/hyperlink" Target="consultantplus://offline/ref=665F252D822264F00A39A86761CBC96FCEB16EB7CAE3E8AA5A0827221834D179261B706E2CDC79C9C76018E339D65076A751A27AFAA56B07r9l2Q" TargetMode = "External"/>
	<Relationship Id="rId23" Type="http://schemas.openxmlformats.org/officeDocument/2006/relationships/hyperlink" Target="consultantplus://offline/ref=665F252D822264F00A39A86761CBC96FCDB96FB9C1E7E8AA5A0827221834D179261B706E2CDC79C9C76018E339D65076A751A27AFAA56B07r9l2Q" TargetMode = "External"/>
	<Relationship Id="rId24" Type="http://schemas.openxmlformats.org/officeDocument/2006/relationships/hyperlink" Target="consultantplus://offline/ref=665F252D822264F00A39A86761CBC96FCDB96FB9C1E6E8AA5A0827221834D179261B706E2CDC79C9C76018E339D65076A751A27AFAA56B07r9l2Q" TargetMode = "External"/>
	<Relationship Id="rId25" Type="http://schemas.openxmlformats.org/officeDocument/2006/relationships/hyperlink" Target="consultantplus://offline/ref=665F252D822264F00A39A86761CBC96FCCB161B6CBE2E8AA5A0827221834D179261B706E2CDC79C8CC6018E339D65076A751A27AFAA56B07r9l2Q" TargetMode = "External"/>
	<Relationship Id="rId26" Type="http://schemas.openxmlformats.org/officeDocument/2006/relationships/hyperlink" Target="consultantplus://offline/ref=665F252D822264F00A39A86761CBC96FCCB161B6CBE2E8AA5A0827221834D179261B706E2DD471C9C66018E339D65076A751A27AFAA56B07r9l2Q" TargetMode = "External"/>
	<Relationship Id="rId27" Type="http://schemas.openxmlformats.org/officeDocument/2006/relationships/hyperlink" Target="consultantplus://offline/ref=665F252D822264F00A39A86761CBC96FCCB161B6CBE2E8AA5A0827221834D179261B706E2DD579CCC86018E339D65076A751A27AFAA56B07r9l2Q"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05.02.2018 N 67
(ред. от 13.07.2021)
"Об утверждении федерального государственного образовательного стандарта среднего профессионального образования по специальности 38.02.07 Банковское дело"
(Зарегистрировано в Минюсте России 26.02.2018 N 50135)</dc:title>
  <dcterms:created xsi:type="dcterms:W3CDTF">2022-12-16T16:37:42Z</dcterms:created>
</cp:coreProperties>
</file>