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13.08.2014 N 992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55.02.02 Анимация (по видам)"</w:t>
              <w:br/>
              <w:t xml:space="preserve">(Зарегистрировано в Минюсте России 25.08.2014 N 33819)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августа 2014 г. N 33819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августа 2014 г. N 992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55.02.02 АНИМАЦИЯ (ПО ВИДАМ)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55.02.02 Анимация (по видам).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3.06.2010 N 69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1006 Анимация&quot; (Зарегистрировано в Минюсте РФ 29.07.2010 N 1799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июня 2010 г. N 690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071006 Анимация" (зарегистрирован Министерством юстиции Российской Федерации 29 июля 2010 г., регистрационный N 17993).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августа 2014 г. N 992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55.02.02 АНИМАЦИЯ (ПО ВИДАМ)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55.02.02 Анимация (по видам) &lt;1&gt;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Программа подготовки специалистов среднего звена по специальности 55.02.02 Анимация (по видам) реализуется по следующим видам: Художник-мультипликатор, Художник-декоратор. Распределение общих и профессиональных компетенций по видам представлено в </w:t>
      </w:r>
      <w:hyperlink w:history="0" w:anchor="P253" w:tooltip="VI. ТРЕБОВАНИЯ К СТРУКТУРЕ ПРОГРАММЫ ПОДГОТОВКИ">
        <w:r>
          <w:rPr>
            <w:sz w:val="20"/>
            <w:color w:val="0000ff"/>
          </w:rPr>
          <w:t xml:space="preserve">разделе VI</w:t>
        </w:r>
      </w:hyperlink>
      <w:r>
        <w:rPr>
          <w:sz w:val="20"/>
        </w:rPr>
        <w:t xml:space="preserve">. Требования к структуре программы подготовки специалистов среднего звена.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55.02.02 Анимация (по видам)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55.02.02 Анимация (по видам)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0"/>
        <w:gridCol w:w="3077"/>
        <w:gridCol w:w="3362"/>
      </w:tblGrid>
      <w:tr>
        <w:tc>
          <w:tcPr>
            <w:tcW w:w="3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Художник-мультипликатор</w:t>
            </w:r>
          </w:p>
        </w:tc>
        <w:tc>
          <w:tcPr>
            <w:tcW w:w="3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специальности 55.02.02 Анимация (по видам) углубленной подготовки по виду Художник-мультипликатор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4"/>
        <w:gridCol w:w="3060"/>
        <w:gridCol w:w="3405"/>
      </w:tblGrid>
      <w:tr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Художник-мультипликатор</w:t>
            </w:r>
          </w:p>
        </w:tc>
        <w:tc>
          <w:tcPr>
            <w:tcW w:w="3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10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специальности 55.02.02 Анимация (по видам) углубленной подготовки по виду Художник-декоратор в очной форме обучения и соответствующая квалификация приводятся в Таблице 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6"/>
        <w:gridCol w:w="3017"/>
        <w:gridCol w:w="3426"/>
      </w:tblGrid>
      <w:tr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1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Художник-декоратор</w:t>
            </w:r>
          </w:p>
        </w:tc>
        <w:tc>
          <w:tcPr>
            <w:tcW w:w="34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11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При приеме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Федеральным </w:t>
      </w:r>
      <w:hyperlink w:history="0" r:id="rId13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вступительных испытаний творческой направленности включает творческие задания, позволяющие определить уровень подготовленности поступающего в области рисунка,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проектирование и создание анимационного проекта, максимально приспособленного к нуждам различных категорий потребителей; организация деятельности коллектива в процессе создания анимационного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анимационные, художественные, документальные, научно-популярные фильмы;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художественные и документальные анимационные проекты;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рекламного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телевизионные анимационные проекты;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мультимедийные анимационные проекты;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детские образовательные и развивающие анимационные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анимационные программы для центров досуга и творчества;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анимационные программы для дизайнерских и рекламных бюро.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Художник-мультипликатор (базовой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Разработка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Техническое исполнение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работ по одной или нескольким профессиям рабочих, должностям служащих (</w:t>
      </w:r>
      <w:hyperlink w:history="0" w:anchor="P167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Художник-мультипликатор (углубленной подготовки)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Разработка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Техническое исполнение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67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Художник-декоратор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4.5.1. Разработка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4.5.2. Техническое исполнение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4.5.3.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4.5.4. Выполнение работ по одной или нескольким профессиям рабочих, должностям служащих (</w:t>
      </w:r>
      <w:hyperlink w:history="0" w:anchor="P1672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Художник-мультипликатор (базовой подготовки)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Художник-мультипликатор (базовой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Разработка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предпроектный анализ для разработки анимационного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процесс анимационного проектирования с учетом современных тенденций в области анимации.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расчеты технико-экономического обоснования предлагаемого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Разрабатывать колористическое решение анимационного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Создавать персонажи, отрабатывать характер заданных образов, движения, мимику, жесты, артикуляцию в соответствии с мизансценами и типажами.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Учитывать необходимость синхронизации изображения и фонограммы.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Выбирать и применять средства компьютерной графики при разработке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Применять навыки логического и пространственного мышления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Использовать информационную среду электронных баз данных, архивов, медиатек, информационно-телекоммуникационных сетей в области анимации и компьютерной графики.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Техническое исполнение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Применять различные техники и технологии, графические и живописные материалы с учетом их свойств.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эскизы анимационного проекта или его отдельные элементы в макете, материале.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Разрабатывать конструкцию и технологическую последовательность изготовления анимационного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Синхронизировать изображение с фонограммой.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Художник-мультипликатор (углубленной подготовки) и художник-декоратор должны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коллективе, обеспечивать его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Художник-мультипликатор (углубленной подготовки)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Разработка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предпроектный анализ для разработки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процесс анимационного проектирования с учетом современных тенденций в области анимации.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Разрабатывать колористическое решение анимационного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Создавать персонажи, отрабатывать характер заданных образов, движения, мимику, жесты, артикуляцию в соответствии с мизансценами и типажами.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Учитывать необходимость синхронизации изображения и фонограммы.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Выбирать и применять средства компьютерной графики при разработке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Писать режиссерский сценарий по литературному сценарию для выполнения анимационного сюжета.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Использовать при проектировании прикладное программное обеспечение.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Осуществлять поиск оптимальных материалов и технологий изготовления объектов анимации.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Применять навыки логического и пространственного мышления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1.11. Использовать информационную среду электронных баз данных, архивов, медиатек, информационно-телекоммуникационных сетей в области анимации и компьютерной графики.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Техническое исполнение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Применять различные технологии, графические и живописные материалы с учетом их свойств.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эскизы и зарисовки анимационного проекта или его отдельные элементы в макете, материале.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Разрабатывать конструкцию и технологическую последовательность изготовления анимационного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Использовать при разработке художественно-технологической составляющей анимационного проекта современные информационные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Применять программные и аппаратные средства автоматизированного проектирования.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Прорисовывать и фазовать сцену с учетом сохранения типажа после исполнения мультипликата.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Составлять конкретные задания для реализации анимационного проекта на основе литературного и режиссерского сценариев.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Планировать собственную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сроки и качество выполненных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Подбирать исполнителей под конкретные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Владеть культурой устной и письменной речи, профессиональной терминологией.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Художник-декоратор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5.5.1. Разработка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предпроектный анализ для разработки фонов и панорам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процесс создания фонов и панорам с учетом современных тенденций в области анимации.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расчеты технико-экономического обоснования предлагаемого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Разрабатывать фоны и панорамы анимационного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Выбирать и применять средства компьютерной графики при разработке фонов и панорам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Анализировать текущее состояние и динамику развития реальных объектов анимации.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Выбирать средства и методы осуществления декорационной части творческих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Осуществлять поиск оптимальных материалов и технологий для изготовления объектов анимации.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Использовать современные технологии информационной среды электронных баз данных, архивов, медиатек, информационно-телекоммуникационных сетей в области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5.5.2. Техническое исполнение анимационных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Применять различные техники и технологии, графические и живописные материалы (с учетом их свойств), основываясь на художественных стилях и жанрах для выполнения фоновой части анимационного фильма.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Разрабатывать фоновую конструкцию проекта с учетом технологии изготовления.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Разрабатывать технологическую последовательность изготовления фоновой части анимационного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фоны и панорамы по заданным эскизам и рисункам.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Использовать основы цветоведения в создании световоздушной перспективы и колористического решения композиции.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Разрабатывать для перспективных анимационных проектов фоны и панорамы.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Использовать при проектировании фонов и панорам прикладное программное обеспечение.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5.5.3. Организация работы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Составлять конкретные задания для реализации анимационного проекта на основе литературного и режиссерского сценариев.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Планировать собственную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Контролировать сроки и качество выполненных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Подбирать исполнителей под конкретные задания.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Владеть культурой устной и письменной речи, профессиональной терминологией.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5.5.4.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53" w:name="P253"/>
    <w:bookmarkEnd w:id="253"/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академических часов, из них на освоение основ военной службы - 48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48"/>
        <w:gridCol w:w="3389"/>
        <w:gridCol w:w="2041"/>
        <w:gridCol w:w="1974"/>
        <w:gridCol w:w="2868"/>
        <w:gridCol w:w="1988"/>
      </w:tblGrid>
      <w:tr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3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2430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8, 10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1.8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графическими приложениями операционной системы "Windows";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программы на языке "VISUAL BASIC" для собственных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решения графических задач с помощью электронно-вычислительных машин (далее - ЭВМ), 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обеспечение безопасности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требования к организации работы на графических станциях;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Информационное обеспечение профессиональной деятельности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1.9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безопасности, 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1686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1124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перспективы, изображая различные предметы с любой точки зрения, определяя глубину пространства, их размеры и масштаб;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объемы предметов в плоскости листа, используя законы светотени;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 натуры и по памяти наброски, зарисовки людей и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линейной перспективы при построении геометрических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воздушной перспективы и распределение света и тени при изображении предметов;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черно-белой и цветной графики, законы композиции;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ОП.01. Рисунок с основами перспективы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2.1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средствами живописи композиции различной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предметы и среду в различной живописной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цветоведения и принципы реалистического изображения объемной формы объекта и световоздушной перспективы;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живописные возможности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психологии восприятия цвета;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ОП.02. Живопись с основами цветоведения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2.1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орфоэпическими словарями, словарями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лексическое значение слова;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словообразовательные средства в изобразительных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багажом синтаксических средств при создании собственных текстов официально-делового, учебно-научного стилей;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редактировать собственные тексты и тексты других авторов;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знаками препинания, вариативными и факультативными знаками препинания;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тексты по их принадлежности к стилям;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речь с точки ее нормативности, уместности и целесообразности;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фонемы; особенности русского ударения, основные тенденции в развитии русского ударения; логическое ударение; орфоэпические нормы; лексические и фразеологические единицы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самостоятельные и служебные части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синтаксический строй предложений;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правописания;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стили литературного языка;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ОП.03. Русский язык и культура речи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современную информацию для технико-экономического обоснования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теоретические знания при организации производственного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современные технологии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исполнителей на повышение качества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затраты на постановку культурно-массового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 в области техники безопасности, общие требования к производственным помещениям и рабочим местам, технические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экономики и управления в сфере культуры и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Экономика и управление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и рационально организовать производственный процесс с учетом требований техники безопасности, выполнять правила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Охрана труда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1.1 - 2.5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1.1 - 2.5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анимационных проектов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анимационных проектов;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киносценарий;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режиссерскую основу;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отличать литературный сценарий от всех других типов литературных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 любом прозаическом произведении драматическую ситуацию;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систему основных образов сценария, правильно выстраивать их взаимоотношения;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литературный сценарий, основываясь на следующих категориях: катарсис, саспенс, мимесис;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проектный анализ анимационного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концепцию анимационного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графические средства в соответствии с тематикой и задачами анимационного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 в соответствии с тематикой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реализовывать творческие идеи;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целостную композицию на плоскости, в объеме и пространстве, применяя известные способы построения и формообразования;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преобразующие методы стилизации и трансформации для создания новых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цветовое единство в композиции по законам колористики;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основных технико-экономических показателей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драматургии, сценического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следующие категории: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конфликт, событие, саспенс, катарсис, мимесис;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согласования сценического времени и пространства;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композиционного построения в графическом и в объемно-пространственном анимационном проекте;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анимационного проекта.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Композиция и художественный образ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1.4 - 1.7, 2.2, 2.3</w:t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исполнение анимационных проектов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программ записи, перезаписи и простейшего монтажа звука с помощью микрофона, магнитных носителей, компакт-дисков;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импортирования графических изображений, созданных с помощью различных компьютерных программ, в создаваемый мультипликационный фильм;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рисованных и графических образов с помощью программных средств векторной и растровой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промежуточных компоновок и фаз в графическом анимационном сюжете;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над сценами с механикой и биомеханикой;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репликами и музыкой;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анимационного сюжета;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разыгрывания сцен с мультипликационными персонажами в различных художественных стилях;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сканировать фотографии, иллюстрации и другие виды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фрагменты видеосюжетов в мультипликационный фильм;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конвертировать видеоизображение и сохранять в различных видеоформатах;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элементы графического анимационного сюжета;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возможности анимационных программ при создании анимационного ролика;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анимировать графические объекты и персонажи;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спецэффекты и специальные подпрограммы (утилиты) программ компьютерной анимации для создания анимационных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анимационные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обработки изображения с использованием современных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искусстве композиции в кадре, постановки и панорамирования в анимационных компьютерных программах;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анимации в компьютерных анимационных программах;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комбинации разнородных средств:</w:t>
            </w:r>
          </w:p>
          <w:p>
            <w:pPr>
              <w:pStyle w:val="0"/>
            </w:pPr>
            <w:r>
              <w:rPr>
                <w:sz w:val="20"/>
              </w:rPr>
              <w:t xml:space="preserve">рисунка, текста, звука, анимации для создания законченного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технологии, программные и аппаратные средства мультимедиа;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взаимодействия аппаратных устройств и программных продуктов при захвате и преобразовании аналоговых сигналов в цифровую форму и обратно;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характеристики современных графических станций;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аппаратные средства мультимедиа для ввода и обработки видео- и аудиосигнала (видеобластера, ТВ-тюнера, видео- и аудиограбберов)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накопителей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мультимедийного компьютера для создания компьютерной анимации;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программы мультимедиа;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системные и аппаратные требования для установки программного обеспечения создания мультимедийных проектов;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программы для проигрывания, записи, копирования и обработки звука и видеоизображения, наложения звука на готовый видеоряд.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Мультимедийная обработка анимационного фильма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1.5, 1.7, 2.3,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6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Компьютерная анимация, компьютерная графика</w:t>
            </w:r>
          </w:p>
        </w:tc>
        <w:tc>
          <w:tcPr>
            <w:vMerge w:val="continue"/>
          </w:tcPr>
          <w:p/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3456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2304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ДР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8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1.1 - 1.9, 2.1 - 2.5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(практика 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 практика)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31"/>
        <w:gridCol w:w="1908"/>
      </w:tblGrid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08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 Художник-мультипликатор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48"/>
        <w:gridCol w:w="3389"/>
        <w:gridCol w:w="2041"/>
        <w:gridCol w:w="1974"/>
        <w:gridCol w:w="2868"/>
        <w:gridCol w:w="1988"/>
      </w:tblGrid>
      <w:tr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3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8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3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4158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2772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3 - 8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3.3 - 3.5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1.10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операционных систем и сред для обеспечения работы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программных методов планирования и анализа проведенных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автоматизированных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решения задач с помощью ЭВМ, методы и средства сбора, обработки, хранения, передачи и накопления информации;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Информационное обеспечение профессиональной деятельности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1.11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3114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перспективы, изображая различные предметы с любой точки зрения, определяя глубину пространства, их размеры и масштаб;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используя законы светотени передавать объемы предметов на плоскости 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 натуры и по памяти наброски, зарисовки людей и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линейной и воздушной перспективы при построении пространственных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светотени при изображении предметов;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черно-белой и цветной графики, законы композиции;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ОП.01. Рисунок с основами перспективы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2.2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средствами живописи композиции различной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предметы и среду в различной живописной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цветоведения и принципы реалистического изображения объемной формы объекта и световоздушной перспективы;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живописные возможности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психологии восприятия цвета;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ОП.02. Живопись с основами цветоведения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2.2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орфоэпическими словарями, словарями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лексическое значение слова;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словообразовательные средства в изобразительных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багажом синтаксических средств при создании собственных текстов официально-делового, учебно-научного стилей;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редактировать собственные тексты и тексты других авторов;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знаками препинания, вариативными и факультативными знаками препинания;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фонемы; особенности русского ударения, основные тенденции в развитии русского ударения;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логическое ударение;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орфоэпические нормы;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лексические и фразеологические единицы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изобразительно-выразительные возможности лексики и фразеологии;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употребление профессиональной лексики и научных терминов;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самостоятельные и служебные части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синтаксический строй предложений;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правописания;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стили литературного языка;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ОП.03. Русский язык и культура речи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vMerge w:val="continue"/>
          </w:tcPr>
          <w:p/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1.1 - 3.5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2234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анимационных проектов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режиссерского сценария;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раскадровки;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типажей;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киносценарий;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режиссерскую разработку;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рабочую раскадровку;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типажи в разных стилях через разработку мимики, фигуры, характера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графические средства в соответствии с тематикой и задачами анимационного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 композиционного поиска и типажей в соответствии с тематикой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целостную композицию, применяя известные способы построения;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построить композицию кадра;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персонаж;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представлять и изображать различные типы фигур;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драматургии, сценического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режиссерского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композиционного построения в графическом и в объемно-пространственном анимационном проекте;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гармонизации цвета.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МДК 01.01. Композиция и художественный образ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 1.7, 1.9, 2.2 - 2.4</w:t>
            </w:r>
          </w:p>
        </w:tc>
      </w:tr>
      <w:tr>
        <w:tc>
          <w:tcPr>
            <w:tcW w:w="13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38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исполнение анимационных проектов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программ записи звука;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анимационных сюжетов с помощью художественных и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анимационных сцен;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над сценами с механикой и биомеханикой;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репликами и музыкой;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время движения и записывать в экспозиционные листы;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циклами, моделями, панорамами, наездами, отъездами и другими приемами;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движение персонажа в перспективе соразмерно с окружающими предметами;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сцены и персонажи сюжета;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серию компоновок, выявлять характер и элементы движения персонажа;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мимики и артикуляции в мизансценах и репличных диалогах;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сохранять персонаж на протяжении всей сцены;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схемы при фазовке;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графические приемы для решения различных композиционных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различные анимационные технологии (перекладку, живопись по стеклу, песок, пластилин, коллаж);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использовать живописный и графический материал для создания художественного образа;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типаж с учетом конструкции и эмоционально-психологической роли в фильме;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характерную пластику, соответствующую образу персонажа;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раскадровку, используя законы композиции кадра;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сохранять в раскадровке и типажах выбранное стилистическое решение;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основные художественные стили и анимэшколы;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элементы графического анимационного сюжета с использованием элементов компьютерной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возможности анимационных программ при создании анимационного ролика;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анимировать графические объекты и персонажи;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расшифровку музыки и реплик с помощью компьютерной программы, с последующей записью в экспозиционные листы;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комбинировать разнородные средства - рисунок, текст, звук, анимацию - для создания законченного проекта;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создания анимационного фильма в - принцип расчета времени движения и запись мультипликата в экспозиционные листы;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расчета циклов, панорам, наездов, отъездов, моделей и других операторских приемов;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монтажа сцен в эпизоде и фильме;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работы с живописными и графическими материалами, а также с инструментами и приспособлениями для художественных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программы для работы с аудио- и видеофайлами и последующее их применение;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обработки изображения с использованием современных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создания анимации в компьютерных анимационных программах;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наложения музыкального и репличного ряда в фильме;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программы мультимедиа.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Мастерство художника-мультипликатора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 1.4 - 1.6, 1.8 - 1.11, 2.1 - 2.6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6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Техника и технологии изобразительных материалов в анимации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 работы с коллективом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самостоятельные решения по вопросам совершенствования организации управленческой работы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деятельности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затраты на постановку культурно-массового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и рационально организовать производственный процесс с учетом требований техники безопасности, выполнять правила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экономики и управления в сфере культуры и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управления трудовыми ресурсами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управления конфликтами и борьбы со стрессом;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организации.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Экономика, менеджмент, охрана труда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5508</w:t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3672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ДР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204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86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1.1 - 1.11, 2.1 - 2.7</w:t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(практика 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 практика)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48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38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7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6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Художника-мультипликатора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31"/>
        <w:gridCol w:w="1908"/>
      </w:tblGrid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73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08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 Художник-декоратор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3"/>
        <w:gridCol w:w="3728"/>
        <w:gridCol w:w="1973"/>
        <w:gridCol w:w="1909"/>
        <w:gridCol w:w="2773"/>
        <w:gridCol w:w="1922"/>
      </w:tblGrid>
      <w:tr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7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3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4158</w:t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2772</w:t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3 - 8</w:t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ОГСЭ.02 История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</w:t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2.3, 2.5 - 2.7, 3.3 - 3.5</w:t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8, 10</w:t>
            </w:r>
          </w:p>
        </w:tc>
      </w:tr>
      <w:tr>
        <w:tc>
          <w:tcPr>
            <w:tcW w:w="130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и методы математического синтеза и анализа в различных профессиональных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1.7, 1.9</w:t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операционных систем и сред для обеспечения работы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применение программных методов планирования и анализа проведенных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автоматизированных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решения задач с помощью ЭВМ, методы и средства сбора, обработки, хранения, передачи и накопления информации;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Информационное обеспечение профессиональной деятельности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1.8, 1.9</w:t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3114</w:t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</w:t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перспективы, изображая различные предметы с любой точки зрения, определяя глубину пространства, их размеры и масштаб;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объемы предметов на плоскости листа, используя законы светотени;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 натуры и по памяти наброски, зарисовки людей и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линейной и воздушной перспективы при построении пространственных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светотени при изображении предметов;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черно-белой и цветной графики, законы композиции;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ОП.01. Рисунок с основами перспективы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1.9, 2.1</w:t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средствами живописи композиции различной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изображать предметы и среду в различной живописной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цветоведения и принципы реалистического изображения объемной формы объекта и световоздушной перспективы;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живописные возможности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психологии восприятия цвета;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ОП.02. Живопись с основами цветоведения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1.9, 2.1</w:t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орфоэпическими словарями, словарями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лексическое значение слова;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словообразовательные средства в изобразительных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багажом синтаксических средств при создании собственных текстов официально-делового, учебно-научного стилей;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редактировать собственные тексты и тексты других авторов;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знаками препинания, вариативными и факультативными знаками препинания;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тексты по их принадлежности к стилям;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речь с точки ее нормативности, уместности и целесообразности;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русского ударения, основные тенденции в развитии русского ударения;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логическое ударение;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орфоэпические нормы;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лексические и фразеологические единицы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изобразительно-выразительные возможности лексики и фразеологии;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употребление профессиональной лексики и научных терминов;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самостоятельные и служебные части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синтаксический строй предложений;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правописания;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стили литературного языка;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ОП.03. Русский язык и культура речи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vMerge w:val="continue"/>
          </w:tcPr>
          <w:p/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1.1 - 3.5</w:t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2234</w:t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1490</w:t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7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анимационных проектов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композиции в цветной и черно-белой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построения в различных видах перспектив;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построения рабочего пространства сцены;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фонов различной степени сложности средствами компьютерной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графические и живописные материалы в создании различных видов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пространство в различных видах перспективы;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правила перспективы в построении предметов и пространства;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моделями, панорамами, наездами, отъездами и другими приемами;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фоны в различных стилях;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программы компьютерной графики для создания пространственной среды фильма;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графические и живописные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применения цвета в графических композициях;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работу над сценами с механикой и биомеханикой;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создания тотальных и многослойных панорам для анимационных сюжетов;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современного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анимационные стили;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в художественных стилях применительно к искусству анимации.</w:t>
            </w:r>
          </w:p>
        </w:tc>
        <w:tc>
          <w:tcPr>
            <w:tcW w:w="197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Разработка декоратором анимационного проекта</w:t>
            </w:r>
          </w:p>
        </w:tc>
        <w:tc>
          <w:tcPr>
            <w:tcW w:w="19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1.4 - 1.9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Рисунок в творчестве декоратора</w:t>
            </w:r>
          </w:p>
        </w:tc>
        <w:tc>
          <w:tcPr>
            <w:vMerge w:val="continue"/>
          </w:tcPr>
          <w:p/>
        </w:tc>
      </w:tr>
      <w:tr>
        <w:tc>
          <w:tcPr>
            <w:tcW w:w="130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7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Техническое исполнение анимационных проектов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декораций для анимационных фильмов в различных техниках;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различных фактур;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передачи пространственной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пространственной среды в различных анимационных стилях;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разными живописными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раскаты разной сложности от простых форм до сложной орнаментальной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фактуры и использовать их в предметно-пространственной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различные виды панорам;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единое колористическое решение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сохранять стилистическое решение по творческому замыслу;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информацию, необходимую для решения творческой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различные анимационные технологии (перекладку, живопись по стеклу, песок, пластилин, коллаж и другие);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различных технологиях и стилях;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различными графическими и живописными материалами, инструментами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выполнения декораций в анимационных фильмах;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последовательность выполнения декорации;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цветоведения и условия создания колорита;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композиции кадра;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специфику графических и живописных материалов и способы работы ими.</w:t>
            </w:r>
          </w:p>
        </w:tc>
        <w:tc>
          <w:tcPr>
            <w:tcW w:w="197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мастерства художника-декоратора</w:t>
            </w:r>
          </w:p>
        </w:tc>
        <w:tc>
          <w:tcPr>
            <w:tcW w:w="19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7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Техника и технологии изобразительных материалов в анимации</w:t>
            </w:r>
          </w:p>
        </w:tc>
        <w:tc>
          <w:tcPr>
            <w:vMerge w:val="continue"/>
          </w:tcPr>
          <w:p/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коллектива исполнителей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коллективом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самостоятельные решения по вопросам совершенствования организации управленческой работы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деятельности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условия для профессионально-личностного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затраты на постановку культурно-массового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и рационально организовать производственный процесс с учетом требований техники безопасности, выполнять правила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экономики и управления в сфере культуры и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макро- и микроэкономики;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управления трудовыми ресурсами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формы обучения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управления конфликтами и борьбы со стрессом;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организации.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Экономика, менеджмент, охрана труда</w:t>
            </w:r>
          </w:p>
        </w:tc>
        <w:tc>
          <w:tcPr>
            <w:tcW w:w="192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5508</w:t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3672</w:t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ДР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19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7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77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1.1 - 1.9, 2.1 - 2.7, 3.1 - 3.5</w:t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(практика 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 практика)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72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0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7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по виду Художник-декоратор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01"/>
        <w:gridCol w:w="2606"/>
      </w:tblGrid>
      <w:tr>
        <w:tc>
          <w:tcPr>
            <w:tcW w:w="7101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60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 нед.</w:t>
            </w:r>
          </w:p>
        </w:tc>
      </w:tr>
      <w:tr>
        <w:tc>
          <w:tcPr>
            <w:tcW w:w="710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60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10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tcW w:w="260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101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60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101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60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10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60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101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60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10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60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 (одну или несколько), должностей служащих, согласно </w:t>
      </w:r>
      <w:hyperlink w:history="0" w:anchor="P1672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дисциплин, междисциплинарных курсов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6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Дополнительная работа над завершением программного задания (не более 8 академических часов в неделю) по междисциплинарным курсам профессиональных модулей базовой и углубленной подготовки "Разработка анимационных проектов" и "Техническое исполнение анимационных проектов" является особым видом самостоятельной работы обучающихся. Во избежание методических ошибок, в целях соблюдения требований техники безопасности дополнительная работа над завершением программного задания проводится под руководством преподавателя, включается в расписание учебных занятий и в учебную нагрузку преподавателя.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Дополнительная работа над завершением программного задания составляет 14 недель (для базовой подготовки) и 23 недели (для углубленной подготовки) (из часов, отведенных на самостоятельную работу), проводится рассредоточенно в течение теоретического обучения, является обязательным видом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260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26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При разработке ППССЗ образовательная организация имеет право ежегодно определять объем времени по дисциплинам и профессиональным модулям ППССЗ в зависимости от содержания наиболее востребованных видов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Образовательная организация, реализующая ППССЗ по специальности 55.02.02 Анимация (по видам) должна обеспечивать подготовку специалистов на базе учебных студий анимации.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 приеме по специальности 55.02.02 Анимация (по видам) необходимо учитывать условие комплектования обучающихся в группы не более 15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Занятия по дисциплинам обязательной и вариативной частей профессионального учебного цикла проводятся в форме групповых и мелкогрупповых.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приема осуществляется при условии формирования групп следующим образом: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групповые занятия - не более 25 человек из обучающихся данного курса одной или, при необходимости, нескольких специальностей;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мелкогрупповые занятия - не более 15 человек по дисциплинам профессионального учебного цикла;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мелкогрупповые занятия - 6 - 8 человек по междисциплинарным курсам профессиональных модулей "Разработка анимационных проектов" и "Техническое исполнение анимационных проектов".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времени, отводимое группе для работы с живой натурой (одна модель на 6 - 8 человек) по дисциплинам "Рисунок" и "Живопись", определяется из следующего расчета, указанного в процентном отношении от количества времени, предусмотренного учебным планом на аудиторные занятия (в процентах):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67"/>
        <w:gridCol w:w="1525"/>
        <w:gridCol w:w="1678"/>
        <w:gridCol w:w="1769"/>
      </w:tblGrid>
      <w:tr>
        <w:tc>
          <w:tcPr>
            <w:tcW w:w="46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ППССЗ</w:t>
            </w:r>
          </w:p>
        </w:tc>
        <w:tc>
          <w:tcPr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Курс</w:t>
            </w:r>
          </w:p>
        </w:tc>
        <w:tc>
          <w:tcPr>
            <w:tcW w:w="1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Рисунок</w:t>
            </w:r>
          </w:p>
        </w:tc>
        <w:tc>
          <w:tcPr>
            <w:tcW w:w="17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Живопись</w:t>
            </w:r>
          </w:p>
        </w:tc>
      </w:tr>
      <w:tr>
        <w:tc>
          <w:tcPr>
            <w:tcW w:w="46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Художник-мультипликатор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Художник-декоратор</w:t>
            </w:r>
          </w:p>
        </w:tc>
        <w:tc>
          <w:tcPr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7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7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7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tcW w:w="15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7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должны проходить стажировку в профильных организациях не реже 1 раза в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программе.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Преподаватели профессионального учебного цикла должны иметь базовое образование, соответствующее профилю преподаваемой дисциплины.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10 процентов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8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7.20.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общегуманитарных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русского языка и литературы;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компьютерной графики и анимации;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рисунка с основами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живописи с основами цветоведения;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изобразительного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фазовки;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прорисовки;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анимации;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основы художественной постановки;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Студии: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видеомонтажная;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графических технологий и стилей в анимационном фильме.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седьмой - двадцать восьмой утратили силу. - </w:t>
      </w:r>
      <w:hyperlink w:history="0" r:id="rId1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просмотровый видеозал;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помещения, соответствующие профилю подготовки, для работы со специализированными материалами: фонотека, видеотека, фильмотека.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7.21.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по ППССЗ базовой подготовки включает выпускную квалификационную работу - "Мультипликационный сюжет (аниматик, экспликация), включающий анимацию и панораму" (до 30 секунд).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по ППССЗ углубленной подготовки, соответствующая квалификации "Художник-мультипликатор", включает выпускную квалификационную работу - "Мультипликационный сюжет (аниматик, экспликация) с анимационными объектами" (от 30 до 60 секунд).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по ППССЗ углубленной подготовки, соответствующая квалификации "Художник-декоратор", включает выпускную квалификационную работу - "Мультипликационный сюжет (аниматик, экспликация) с объектами фона и панораму" (от 30 до 60 секунд).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55.02.02 Анимация (по видам)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672" w:name="P1672"/>
    <w:bookmarkEnd w:id="167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20"/>
        <w:gridCol w:w="5019"/>
      </w:tblGrid>
      <w:tr>
        <w:tc>
          <w:tcPr>
            <w:tcW w:w="4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0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6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0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620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27430</w:t>
              </w:r>
            </w:hyperlink>
          </w:p>
        </w:tc>
        <w:tc>
          <w:tcPr>
            <w:tcW w:w="5019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Художник-декоратор</w:t>
            </w:r>
          </w:p>
        </w:tc>
      </w:tr>
      <w:tr>
        <w:tc>
          <w:tcPr>
            <w:tcW w:w="4620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27454</w:t>
              </w:r>
            </w:hyperlink>
          </w:p>
        </w:tc>
        <w:tc>
          <w:tcPr>
            <w:tcW w:w="5019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Художник-мультипликатор</w:t>
            </w:r>
          </w:p>
        </w:tc>
      </w:tr>
      <w:tr>
        <w:tc>
          <w:tcPr>
            <w:tcW w:w="4620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20236</w:t>
              </w:r>
            </w:hyperlink>
          </w:p>
        </w:tc>
        <w:tc>
          <w:tcPr>
            <w:tcW w:w="5019" w:type="dxa"/>
          </w:tcPr>
          <w:p>
            <w:pPr>
              <w:pStyle w:val="0"/>
            </w:pPr>
            <w:r>
              <w:rPr>
                <w:sz w:val="20"/>
              </w:rPr>
              <w:t xml:space="preserve">Ассистент художника-постановщика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E325898D9E1831329AF373C66307741E8C54A351F2FF28DE1312A47F9E81948756EF05936132509CF12201B49E84DC955B2E569C67074B8G8gBJ" TargetMode = "External"/>
	<Relationship Id="rId8" Type="http://schemas.openxmlformats.org/officeDocument/2006/relationships/hyperlink" Target="consultantplus://offline/ref=0E325898D9E1831329AF373C66307741E9C445331F25F28DE1312A47F9E81948756EF05936122205C412201B49E84DC955B2E569C67074B8G8gBJ" TargetMode = "External"/>
	<Relationship Id="rId9" Type="http://schemas.openxmlformats.org/officeDocument/2006/relationships/hyperlink" Target="consultantplus://offline/ref=0E325898D9E1831329AF373C66307741EACC45351F25F28DE1312A47F9E81948676EA855361B3C00C407764A0FGBgFJ" TargetMode = "External"/>
	<Relationship Id="rId10" Type="http://schemas.openxmlformats.org/officeDocument/2006/relationships/hyperlink" Target="consultantplus://offline/ref=0E325898D9E1831329AF373C66307741E8C54A351F2FF28DE1312A47F9E81948756EF05936132509CF12201B49E84DC955B2E569C67074B8G8gBJ" TargetMode = "External"/>
	<Relationship Id="rId11" Type="http://schemas.openxmlformats.org/officeDocument/2006/relationships/hyperlink" Target="consultantplus://offline/ref=0E325898D9E1831329AF373C66307741E8C54A351F2FF28DE1312A47F9E81948756EF05936132508C612201B49E84DC955B2E569C67074B8G8gBJ" TargetMode = "External"/>
	<Relationship Id="rId12" Type="http://schemas.openxmlformats.org/officeDocument/2006/relationships/hyperlink" Target="consultantplus://offline/ref=0E325898D9E1831329AF373C66307741E8C54A351F2FF28DE1312A47F9E81948756EF05936132508C412201B49E84DC955B2E569C67074B8G8gBJ" TargetMode = "External"/>
	<Relationship Id="rId13" Type="http://schemas.openxmlformats.org/officeDocument/2006/relationships/hyperlink" Target="consultantplus://offline/ref=0E325898D9E1831329AF373C66307741EFCF433C182CF28DE1312A47F9E81948676EA855361B3C00C407764A0FGBgFJ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consultantplus://offline/ref=0E325898D9E1831329AF373C66307741EFCF433C182CF28DE1312A47F9E81948676EA855361B3C00C407764A0FGBgFJ" TargetMode = "External"/>
	<Relationship Id="rId17" Type="http://schemas.openxmlformats.org/officeDocument/2006/relationships/hyperlink" Target="consultantplus://offline/ref=0E325898D9E1831329AF373C66307741EFCE40311D2FF28DE1312A47F9E81948756EF05B3F122955975D21470DB45EC85EB2E66BDAG7g0J" TargetMode = "External"/>
	<Relationship Id="rId18" Type="http://schemas.openxmlformats.org/officeDocument/2006/relationships/hyperlink" Target="consultantplus://offline/ref=0E325898D9E1831329AF373C66307741EFCF433C182CF28DE1312A47F9E81948756EF05936122B00C612201B49E84DC955B2E569C67074B8G8gBJ" TargetMode = "External"/>
	<Relationship Id="rId19" Type="http://schemas.openxmlformats.org/officeDocument/2006/relationships/hyperlink" Target="consultantplus://offline/ref=0E325898D9E1831329AF373C66307741E8C54A351F2FF28DE1312A47F9E81948756EF05936132508C512201B49E84DC955B2E569C67074B8G8gBJ" TargetMode = "External"/>
	<Relationship Id="rId20" Type="http://schemas.openxmlformats.org/officeDocument/2006/relationships/hyperlink" Target="consultantplus://offline/ref=0E325898D9E1831329AF373C66307741EFCF433C182CF28DE1312A47F9E81948756EF05936122A01C512201B49E84DC955B2E569C67074B8G8gBJ" TargetMode = "External"/>
	<Relationship Id="rId21" Type="http://schemas.openxmlformats.org/officeDocument/2006/relationships/hyperlink" Target="consultantplus://offline/ref=0E325898D9E1831329AF373C66307741EACF473C172BF28DE1312A47F9E81948756EF05936122200C612201B49E84DC955B2E569C67074B8G8gBJ" TargetMode = "External"/>
	<Relationship Id="rId22" Type="http://schemas.openxmlformats.org/officeDocument/2006/relationships/hyperlink" Target="consultantplus://offline/ref=0E325898D9E1831329AF373C66307741EACF473C172BF28DE1312A47F9E81948756EF05936152108C012201B49E84DC955B2E569C67074B8G8gBJ" TargetMode = "External"/>
	<Relationship Id="rId23" Type="http://schemas.openxmlformats.org/officeDocument/2006/relationships/hyperlink" Target="consultantplus://offline/ref=0E325898D9E1831329AF373C66307741EACF473C172BF28DE1312A47F9E81948756EF05936152601C212201B49E84DC955B2E569C67074B8G8gBJ" TargetMode = "External"/>
	<Relationship Id="rId24" Type="http://schemas.openxmlformats.org/officeDocument/2006/relationships/hyperlink" Target="consultantplus://offline/ref=0E325898D9E1831329AF373C66307741EACF473C172BF28DE1312A47F9E81948756EF05936172605C512201B49E84DC955B2E569C67074B8G8gB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13.08.2014 N 992
(ред. от 13.07.2021)
"Об утверждении федерального государственного образовательного стандарта среднего профессионального образования по специальности 55.02.02 Анимация (по видам)"
(Зарегистрировано в Минюсте России 25.08.2014 N 33819)</dc:title>
  <dcterms:created xsi:type="dcterms:W3CDTF">2022-12-09T09:32:04Z</dcterms:created>
</cp:coreProperties>
</file>