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Минобрнауки России от 02.08.2013 N 794</w:t>
              <w:br/>
              <w:t xml:space="preserve">(ред. от 13.07.2021)</w:t>
              <w:br/>
              <w:t xml:space="preserve">"Об утверждении федерального государственного образовательного стандарта среднего профессионального образования по профессии 260203.01 Переработчик скота и мяса"</w:t>
              <w:br/>
              <w:t xml:space="preserve">(Зарегистрировано в Минюсте России 20.08.2013 N 29473)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16.12.2022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20 августа 2013 г. N 29473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ОБРАЗОВАНИЯ И НАУКИ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2 августа 2013 г. N 794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</w:t>
      </w:r>
    </w:p>
    <w:p>
      <w:pPr>
        <w:pStyle w:val="2"/>
        <w:jc w:val="center"/>
      </w:pPr>
      <w:r>
        <w:rPr>
          <w:sz w:val="20"/>
        </w:rPr>
        <w:t xml:space="preserve">ФЕДЕРАЛЬНОГО ГОСУДАРСТВЕННОГО ОБРАЗОВАТЕЛЬНОГО СТАНДАРТА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ПРОФЕССИИ</w:t>
      </w:r>
    </w:p>
    <w:p>
      <w:pPr>
        <w:pStyle w:val="2"/>
        <w:jc w:val="center"/>
      </w:pPr>
      <w:r>
        <w:rPr>
          <w:sz w:val="20"/>
        </w:rPr>
        <w:t xml:space="preserve">260203.01 ПЕРЕРАБОТЧИК СКОТА И МЯСА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7" w:tooltip="Приказ Минобрнауки России от 09.04.2015 N 390 (ред. от 13.01.2021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199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Минобрнауки России от 09.04.2015 N 390,</w:t>
            </w:r>
          </w:p>
          <w:p>
            <w:pPr>
              <w:pStyle w:val="0"/>
              <w:jc w:val="center"/>
            </w:pPr>
            <w:hyperlink w:history="0" r:id="rId8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Минпросвещения России от 13.07.2021 N 450)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r>
        <w:rPr>
          <w:sz w:val="20"/>
        </w:rPr>
        <w:t xml:space="preserve">пунктом 5.2.41</w:t>
      </w:r>
      <w:r>
        <w:rPr>
          <w:sz w:val="20"/>
        </w:rP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2923),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прилагаемый федеральный государственный образовательный </w:t>
      </w:r>
      <w:hyperlink w:history="0" w:anchor="P36" w:tooltip="ФЕДЕРАЛЬНЫЙ ГОСУДАРСТВЕННЫЙ ОБРАЗОВАТЕЛЬНЫЙ СТАНДАРТ">
        <w:r>
          <w:rPr>
            <w:sz w:val="20"/>
            <w:color w:val="0000ff"/>
          </w:rPr>
          <w:t xml:space="preserve">стандарт</w:t>
        </w:r>
      </w:hyperlink>
      <w:r>
        <w:rPr>
          <w:sz w:val="20"/>
        </w:rPr>
        <w:t xml:space="preserve"> среднего профессионального образования по профессии 260203.01 Переработчик скота и мяса.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Признать утратившим силу </w:t>
      </w:r>
      <w:hyperlink w:history="0" r:id="rId9" w:tooltip="Приказ Минобрнауки РФ от 12.05.2010 N 495 &quot;Об утверждении и введении в действие федерального государственного образовательного стандарта начального профессионального образования по профессии 260203.01 Переработчик скота и мяса&quot; (Зарегистрировано в Минюсте РФ 30.06.2010 N 17664) ------------ Утратил силу или отменен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образования и науки Российской Федерации от 12 мая 2010 г. N 495 "Об утверждении и введении в действие федерального государственного образовательного стандарта начального профессионального образования по профессии 260203.01 Переработчик скота и мяса" (зарегистрирован Министерством юстиции Российской Федерации 30 июня 2010 г., регистрационный N 17664).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Настоящий приказ вступает в силу с 1 сентября 2013 года.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Д.В.ЛИВАНОВ</w:t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приказом Министерства образования</w:t>
      </w:r>
    </w:p>
    <w:p>
      <w:pPr>
        <w:pStyle w:val="0"/>
        <w:jc w:val="right"/>
      </w:pPr>
      <w:r>
        <w:rPr>
          <w:sz w:val="20"/>
        </w:rPr>
        <w:t xml:space="preserve">и науки 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2 августа 2013г. N 794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36" w:name="P36"/>
    <w:bookmarkEnd w:id="36"/>
    <w:p>
      <w:pPr>
        <w:pStyle w:val="2"/>
        <w:jc w:val="center"/>
      </w:pPr>
      <w:r>
        <w:rPr>
          <w:sz w:val="20"/>
        </w:rPr>
        <w:t xml:space="preserve">ФЕДЕРАЛЬНЫЙ ГОСУДАРСТВЕННЫЙ ОБРАЗОВАТЕЛЬНЫЙ СТАНДАРТ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ПРОФЕССИИ</w:t>
      </w:r>
    </w:p>
    <w:p>
      <w:pPr>
        <w:pStyle w:val="2"/>
        <w:jc w:val="center"/>
      </w:pPr>
      <w:r>
        <w:rPr>
          <w:sz w:val="20"/>
        </w:rPr>
        <w:t xml:space="preserve">260203.01 ПЕРЕРАБОТЧИК СКОТА И МЯСА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0" w:tooltip="Приказ Минобрнауки России от 09.04.2015 N 390 (ред. от 13.01.2021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199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Минобрнауки России от 09.04.2015 N 390,</w:t>
            </w:r>
          </w:p>
          <w:p>
            <w:pPr>
              <w:pStyle w:val="0"/>
              <w:jc w:val="center"/>
            </w:pPr>
            <w:hyperlink w:history="0" r:id="rId11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Минпросвещения России от 13.07.2021 N 450)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I. ОБЛАСТЬ ПРИМЕНЕНИЯ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к среднему профессиональному образованию по профессии 260203.01 Переработчик скота и мяса для профессиональной образовательной организации и образовательной организации высшего образования, которые имеют право на реализацию имеющих государственную аккредитацию программ подготовки квалифицированных рабочих, служащих по данной профессии, на территории Российской Федерации (далее - образовательная организация).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Право на реализацию программы подготовки квалифицированных рабочих, служащих по профессии 260203.01 Переработчик скота и мяса имеет образовательная организация при наличии соответствующей лицензии на осуществление образовательной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Возможна сетевая форма реализации программы подготовки квалифицированных рабочих, служащих с использованием ресурсов нескольких образовательных организаций. В реализации программы подготовки квалифицированных рабочих, служащих с использованием сетевой формы наряду с образовательными организациями также могут участвовать медицинские организации, организации культуры, физкультурно-спортивные и иные организации, обладающие ресурсами, необходимыми для осуществления обучения, проведения учебной и производственной практики и осуществления иных видов учебной деятельности, предусмотренных программой подготовки квалифицированных рабочих, служащих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12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 1 статьи 15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1.3. Образовательная деятельность при освоении образовательной программы или отдельных ее компонентов организуется в форме практической подготовки.</w:t>
      </w:r>
    </w:p>
    <w:p>
      <w:pPr>
        <w:pStyle w:val="0"/>
        <w:jc w:val="both"/>
      </w:pPr>
      <w:r>
        <w:rPr>
          <w:sz w:val="20"/>
        </w:rPr>
        <w:t xml:space="preserve">(п. 1.3 введен </w:t>
      </w:r>
      <w:hyperlink w:history="0" r:id="rId13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13.07.2021 N 450)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1.4. Воспитание обучающихся при освоении ими образовательной программы осуществляется на основе включаемых в образовательную программу рабочей программы воспитания и календарного плана воспитательной работы, разрабатываемых и утверждаемых с учетом включенных в примерную основную образовательную программу примерной рабочей программы воспитания и примерного календарного плана воспитательной работы.</w:t>
      </w:r>
    </w:p>
    <w:p>
      <w:pPr>
        <w:pStyle w:val="0"/>
        <w:jc w:val="both"/>
      </w:pPr>
      <w:r>
        <w:rPr>
          <w:sz w:val="20"/>
        </w:rPr>
        <w:t xml:space="preserve">(п. 1.4 введен </w:t>
      </w:r>
      <w:hyperlink w:history="0" r:id="rId14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13.07.2021 N 450)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II. ИСПОЛЬЗУЕМЫЕ СОКРАЩЕНИЯ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настоящем стандарте используются следующие сокращения: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 - среднее профессиональное образование;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ФГОС СПО - федеральный государственный образовательный стандарт среднего профессионального образования;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ППКРС - программа подготовки квалифицированных рабочих, служащих по профессии;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- общая компетенция;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- профессиональная компетенция;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ПМ - профессиональный модуль;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МДК - междисциплинарный курс.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III. ХАРАКТЕРИСТИКА ПОДГОТОВКИ ПО ПРОФЕССИИ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3.1. Сроки получения СПО по профессии 260203.01 Переработчик скота и мяса в очной форме обучения и соответствующие квалификации приводятся в Таблице 1.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1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891"/>
        <w:gridCol w:w="3213"/>
        <w:gridCol w:w="2948"/>
      </w:tblGrid>
      <w:tr>
        <w:tc>
          <w:tcPr>
            <w:tcW w:w="28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Уровень образования, необходимый для приема на обучение по ППКРС</w:t>
            </w:r>
          </w:p>
        </w:tc>
        <w:tc>
          <w:tcPr>
            <w:tcW w:w="32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квалификации (профессий по Общероссийскому </w:t>
            </w:r>
            <w:hyperlink w:history="0" r:id="rId15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классификатору</w:t>
              </w:r>
            </w:hyperlink>
            <w:r>
              <w:rPr>
                <w:sz w:val="20"/>
              </w:rPr>
              <w:t xml:space="preserve"> профессий рабочих, должностей служащих и тарифных разрядов) (ОК 016-94) </w:t>
            </w:r>
            <w:hyperlink w:history="0" w:anchor="P84" w:tooltip="&lt;1&gt; ФГОС СПО в части требований к результатам освоения ППКРС ориентирован на присвоение выпускнику квалификации выше средней квалификации для данной профессии.">
              <w:r>
                <w:rPr>
                  <w:sz w:val="20"/>
                  <w:color w:val="0000ff"/>
                </w:rPr>
                <w:t xml:space="preserve">&lt;1&gt;</w:t>
              </w:r>
            </w:hyperlink>
          </w:p>
        </w:tc>
        <w:tc>
          <w:tcPr>
            <w:tcW w:w="29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Срок получения СПО по ППКРС в очной форме обучения </w:t>
            </w:r>
            <w:hyperlink w:history="0" w:anchor="P85" w:tooltip="&lt;2&gt; Независимо от применяемых образовательных технологий.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</w:tr>
      <w:tr>
        <w:tc>
          <w:tcPr>
            <w:tcW w:w="28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среднее общее образование</w:t>
            </w:r>
          </w:p>
        </w:tc>
        <w:tc>
          <w:tcPr>
            <w:tcW w:w="3213" w:type="dxa"/>
            <w:tcBorders>
              <w:bottom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Жиловщик мяса и субпродуктов Изготовитель мясных полуфабрикатов Обвальщик мяса</w:t>
            </w:r>
          </w:p>
        </w:tc>
        <w:tc>
          <w:tcPr>
            <w:tcW w:w="29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 мес.</w:t>
            </w:r>
          </w:p>
        </w:tc>
      </w:tr>
      <w:tr>
        <w:tblPrEx>
          <w:tblBorders>
            <w:insideH w:val="nil"/>
          </w:tblBorders>
        </w:tblPrEx>
        <w:tc>
          <w:tcPr>
            <w:tcW w:w="2891" w:type="dxa"/>
            <w:vAlign w:val="bottom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основное общее образование</w:t>
            </w:r>
          </w:p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294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года 10 мес. </w:t>
            </w:r>
            <w:hyperlink w:history="0" w:anchor="P86" w:tooltip="&lt;3&gt; Образовательные организации, осуществляющие подготовку квалифицированных рабочих, служащих на базе основного общего образования, реализуют федеральный государственный образовательный стандарт среднего общего образования в пределах ППКРС, в том числе с учетом получаемой профессии СПО.">
              <w:r>
                <w:rPr>
                  <w:sz w:val="20"/>
                  <w:color w:val="0000ff"/>
                </w:rPr>
                <w:t xml:space="preserve">&lt;3&gt;</w:t>
              </w:r>
            </w:hyperlink>
          </w:p>
        </w:tc>
      </w:tr>
      <w:tr>
        <w:tblPrEx>
          <w:tblBorders>
            <w:insideH w:val="nil"/>
          </w:tblBorders>
        </w:tblPrEx>
        <w:tc>
          <w:tcPr>
            <w:gridSpan w:val="3"/>
            <w:tcW w:w="9052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6" w:tooltip="Приказ Минобрнауки России от 09.04.2015 N 390 (ред. от 13.01.2021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199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Минобрнауки России от 09.04.2015 N 390)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84" w:name="P84"/>
    <w:bookmarkEnd w:id="8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ФГОС СПО в части требований к результатам освоения ППКРС ориентирован на присвоение выпускнику квалификации выше средней квалификации для данной профессии.</w:t>
      </w:r>
    </w:p>
    <w:bookmarkStart w:id="85" w:name="P85"/>
    <w:bookmarkEnd w:id="8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Независимо от применяемых образовательных технологий.</w:t>
      </w:r>
    </w:p>
    <w:bookmarkStart w:id="86" w:name="P86"/>
    <w:bookmarkEnd w:id="8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&lt;3&gt; Образовательные организации, осуществляющие подготовку квалифицированных рабочих, служащих на базе основного общего образования, реализуют федеральный государственный образовательный стандарт среднего общего образования в пределах ППКРС, в том числе с учетом получаемой профессии СПО.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88" w:name="P88"/>
    <w:bookmarkEnd w:id="88"/>
    <w:p>
      <w:pPr>
        <w:pStyle w:val="0"/>
        <w:ind w:firstLine="540"/>
        <w:jc w:val="both"/>
      </w:pPr>
      <w:r>
        <w:rPr>
          <w:sz w:val="20"/>
        </w:rPr>
        <w:t xml:space="preserve">3.2. Рекомендуемый перечень возможных сочетаний профессий рабочих, должностей служащих по Общероссийскому </w:t>
      </w:r>
      <w:hyperlink w:history="0" r:id="rId17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<w:r>
          <w:rPr>
            <w:sz w:val="20"/>
            <w:color w:val="0000ff"/>
          </w:rPr>
          <w:t xml:space="preserve">классификатору</w:t>
        </w:r>
      </w:hyperlink>
      <w:r>
        <w:rPr>
          <w:sz w:val="20"/>
        </w:rPr>
        <w:t xml:space="preserve"> профессий рабочих, должностей служащих и тарифных разрядов (ОК 016-94) при формировании ППКРС: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обвальщик мяса - жиловщик мяса и субпродуктов;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жиловщик мяса и субпродуктов - изготовитель мясных полуфабрикатов.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Сроки получения СПО по ППКРС независимо от применяемых образовательных технологий увеличиваются: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для обучающихся по очно-заочной форме обучения: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базе среднего общего образования - не более чем на 1 год;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базе основного общего образования - не более чем на 1,5 года;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для инвалидов и лиц с ограниченными возможностями здоровья - не более чем на 6 месяцев.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IV. ХАРАКТЕРИСТИКА ПРОФЕССИОНАЛЬНОЙ</w:t>
      </w:r>
    </w:p>
    <w:p>
      <w:pPr>
        <w:pStyle w:val="2"/>
        <w:jc w:val="center"/>
      </w:pPr>
      <w:r>
        <w:rPr>
          <w:sz w:val="20"/>
        </w:rPr>
        <w:t xml:space="preserve">ДЕЯТЕЛЬНОСТИ ВЫПУСКНИКОВ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4.1. Область профессиональной деятельности выпускников: выполнение работ по переработке скота и мяса и изготовлению мясных натуральных полуфабрикатов.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 Объектами профессиональной деятельности выпускников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скот всех видов;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продукты убоя;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мясо, субпродукты, мясные натуральные полуфабрикаты;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оборудование, инструменты и инвентарь для переработки скота и мяса;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технологические процессы переработки скота и мяса;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нормативно-техническая документация.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 Обучающийся по профессии 260203.01 Переработчик скота и мяса готовится к следующим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4.3.1. Прием и содержание скота.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4.3.2. Первичная переработка скота.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4.3.3. Обвалка мяса скота всех видов.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4.3.4. Жиловка мяса и субпродуктов.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4.3.5. Изготовление натуральных мясных полуфабрикатов.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V. ТРЕБОВАНИЯ К РЕЗУЛЬТАТАМ ОСВОЕНИЯ ПРОГРАММЫ ПОДГОТОВКИ</w:t>
      </w:r>
    </w:p>
    <w:p>
      <w:pPr>
        <w:pStyle w:val="2"/>
        <w:jc w:val="center"/>
      </w:pPr>
      <w:r>
        <w:rPr>
          <w:sz w:val="20"/>
        </w:rPr>
        <w:t xml:space="preserve">КВАЛИФИЦИРОВАННЫХ РАБОЧИХ, СЛУЖАЩИХ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5.1. Выпускник, освоивший ППКРС, должен обладать общими компетенциями, включающими в себя способность: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1. Понимать сущность и социальную значимость будущей профессии, проявлять к ней устойчивый интерес.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2. Организовывать собственную деятельность, исходя из цели и способов ее достижения, определенных руководителем.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4. Осуществлять поиск информации, необходимой для эффективного выполнения профессиональных задач.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5. Использовать информационно-коммуникационные технологии в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6. Работать в команде, эффективно общаться с коллегами, руководством, клиентами.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7. Исполнять воинскую обязанность &lt;*&gt;, в том числе с применением полученных профессиональных знаний (для юношей).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&lt;*&gt; В соответствии с Федеральным </w:t>
      </w:r>
      <w:hyperlink w:history="0" r:id="rId18" w:tooltip="Федеральный закон от 28.03.1998 N 53-ФЗ (ред. от 24.09.2022) &quot;О воинской обязанности и военной службе&quot; (с изм. и доп., вступ. в силу с 13.10.2022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28.03.1998 N 53-ФЗ "О воинской обязанности и военной службе".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5.2. Выпускник, освоивший ППКРС, должен обладать профессиональными компетенциями, соответствующими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5.2.1. Прием и содержание скота.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1.1. Выполнять прием скота.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1.2. Контролировать условия и режимы содержания скота на предубойной выдержке.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5.2.2. Первичная переработка скота.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2.1. Выполнять технологические процессы по переработке крупного рогатого скота.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2.2. Выполнять технологические процессы по переработке мелкого рогатого скота.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2.3. Выполнять технологические процессы по переработке свиней.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5.2.3. Обвалка мяса скота всех видов.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3.1. Выполнять разделку туш, полутуш и четвертин на отруба (части).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3.2. Выполнять процесс обвалки частей туш скота (по видам).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5.2.4. Жиловка мяса и субпродуктов.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4.1. Выполнять процесс жиловки мяса (по видам) и разделять его по сортам.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4.2. Выполнять процесс жиловки субпродуктов.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5.2.5. Изготовление натуральных мясных полуфабрикатов.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5.1. Выделять и подготавливать крупнокусковые мясные полуфабрикаты для производства различных видов натуральных мясных полуфабрикатов.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5.2. Выполнять технологические процессы по изготовлению различных видов натуральных мясных полуфабрикатов.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5.3. Обслуживать оборудование для выработки мясных полуфабрикатов.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VI. ТРЕБОВАНИЯ К СТРУКТУРЕ ПРОГРАММЫ ПОДГОТОВКИ</w:t>
      </w:r>
    </w:p>
    <w:p>
      <w:pPr>
        <w:pStyle w:val="2"/>
        <w:jc w:val="center"/>
      </w:pPr>
      <w:r>
        <w:rPr>
          <w:sz w:val="20"/>
        </w:rPr>
        <w:t xml:space="preserve">КВАЛИФИЦИРОВАННЫХ РАБОЧИХ, СЛУЖАЩИХ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6.1. ППКРС предусматривает изучение следующих учебных циклов: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общепрофессионального;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профессионального</w:t>
      </w:r>
    </w:p>
    <w:p>
      <w:pPr>
        <w:pStyle w:val="0"/>
        <w:spacing w:before="200" w:line-rule="auto"/>
        <w:jc w:val="both"/>
      </w:pPr>
      <w:r>
        <w:rPr>
          <w:sz w:val="20"/>
        </w:rPr>
        <w:t xml:space="preserve">и разделов: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физическая культура;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учебная практика;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промежуточная аттестация;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государственная итоговая аттестация.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6.2. Обязательная часть ППКРС должна составлять около 80 процентов от общего объема времени, отведенного на ее освоение. Вариативная часть (около 20 процентов) дает возможность расширения и (или) углубления подготовки, определяемой содержанием обязательной части, получения дополнительных компетенций, умений и знаний,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образования. Дисциплины, междисциплинарные курсы и профессиональные модули вариативной части определяются образовательной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Общепрофессиональный учебный цикл состоит из общепрофессиональных дисциплин, профессиональный учебный цикл состоит из профессиональных модулей в соответствии с видами деятельности, соответствующими присваиваемым квалификациям. В состав профессионального модуля входит один или несколько междисциплинарных курсов. При освоении обучающимися профессиональных модулей проводятся учебная и (или) производственная практика.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Обязательная часть профессионального учебного цикла ППКРС должна предусматривать изучение дисциплины "Безопасность жизнедеятельности". Объем часов на дисциплину "Безопасность жизнедеятельности" составляет 2 часа в неделю в период теоретического обучения (обязательной части учебных циклов), но не более 68 часов, из них на освоение основ военной службы - 70 процентов от общего объема времени, отведенного на указанную дисциплину.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6.3. Образовательной организацией при определении структуры ППКРС и трудоемкости ее освоения может применяться система зачетных единиц, при этом одна зачетная единица соответствует 36 академическим часам.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Структура программы подготовки квалифицированных</w:t>
      </w:r>
    </w:p>
    <w:p>
      <w:pPr>
        <w:pStyle w:val="2"/>
        <w:jc w:val="center"/>
      </w:pPr>
      <w:r>
        <w:rPr>
          <w:sz w:val="20"/>
        </w:rPr>
        <w:t xml:space="preserve">рабочих, служащих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Таблица 2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180"/>
        <w:gridCol w:w="3700"/>
        <w:gridCol w:w="1630"/>
        <w:gridCol w:w="1630"/>
        <w:gridCol w:w="1630"/>
        <w:gridCol w:w="1630"/>
      </w:tblGrid>
      <w:tr>
        <w:tc>
          <w:tcPr>
            <w:tcW w:w="11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</w:t>
            </w:r>
          </w:p>
        </w:tc>
        <w:tc>
          <w:tcPr>
            <w:tcW w:w="37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учебных циклов, разделов, модулей, требования к знаниям, умениям, практическому опыту</w:t>
            </w:r>
          </w:p>
        </w:tc>
        <w:tc>
          <w:tcPr>
            <w:tcW w:w="163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 максимальной учебной нагрузки обучающегося (час./нед.)</w:t>
            </w:r>
          </w:p>
        </w:tc>
        <w:tc>
          <w:tcPr>
            <w:tcW w:w="163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т.ч. часов обязательных учебных занятий</w:t>
            </w:r>
          </w:p>
        </w:tc>
        <w:tc>
          <w:tcPr>
            <w:tcW w:w="163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 и наименование дисциплин, междисциплинарных курсов (МДК)</w:t>
            </w:r>
          </w:p>
        </w:tc>
        <w:tc>
          <w:tcPr>
            <w:tcW w:w="163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Коды формируемых компетенций</w:t>
            </w:r>
          </w:p>
        </w:tc>
      </w:tr>
      <w:tr>
        <w:tc>
          <w:tcPr>
            <w:tcW w:w="11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700" w:type="dxa"/>
          </w:tcPr>
          <w:p>
            <w:pPr>
              <w:pStyle w:val="0"/>
            </w:pPr>
            <w:r>
              <w:rPr>
                <w:sz w:val="20"/>
              </w:rPr>
              <w:t xml:space="preserve">Обязательная часть учебных циклов ППКРС и раздел "Физическая культура"</w:t>
            </w:r>
          </w:p>
        </w:tc>
        <w:tc>
          <w:tcPr>
            <w:tcW w:w="163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864</w:t>
            </w:r>
          </w:p>
        </w:tc>
        <w:tc>
          <w:tcPr>
            <w:tcW w:w="163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576</w:t>
            </w:r>
          </w:p>
        </w:tc>
        <w:tc>
          <w:tcPr>
            <w:tcW w:w="163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3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18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ОП.00</w:t>
            </w:r>
          </w:p>
        </w:tc>
        <w:tc>
          <w:tcPr>
            <w:tcW w:w="3700" w:type="dxa"/>
          </w:tcPr>
          <w:p>
            <w:pPr>
              <w:pStyle w:val="0"/>
            </w:pPr>
            <w:r>
              <w:rPr>
                <w:sz w:val="20"/>
              </w:rPr>
              <w:t xml:space="preserve">Общепрофессиональный учебный цикл</w:t>
            </w:r>
          </w:p>
        </w:tc>
        <w:tc>
          <w:tcPr>
            <w:tcW w:w="163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</w:t>
            </w:r>
          </w:p>
        </w:tc>
        <w:tc>
          <w:tcPr>
            <w:tcW w:w="163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136</w:t>
            </w:r>
          </w:p>
        </w:tc>
        <w:tc>
          <w:tcPr>
            <w:tcW w:w="163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3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180" w:type="dxa"/>
            <w:tcBorders>
              <w:top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700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цикла обучающийся по общепрофессиональным дисциплинам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топографическое расположение органов и частей тела сельскохозяйственных животных;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анатомические и возрастные особенности сельскохозяйственных животных;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особенности строения организма сельскохозяйственных животных для получения продуктов заданного качества и свойств;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строение органов и тканей сельскохозяйственных животных;</w:t>
            </w:r>
          </w:p>
          <w:p>
            <w:pPr>
              <w:pStyle w:val="0"/>
            </w:pPr>
            <w:r>
              <w:rPr>
                <w:sz w:val="20"/>
              </w:rPr>
              <w:t xml:space="preserve">физиологические функции органов и систем органов животных</w:t>
            </w:r>
          </w:p>
        </w:tc>
        <w:tc>
          <w:tcPr>
            <w:tcW w:w="163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3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30" w:type="dxa"/>
          </w:tcPr>
          <w:p>
            <w:pPr>
              <w:pStyle w:val="0"/>
            </w:pPr>
            <w:r>
              <w:rPr>
                <w:sz w:val="20"/>
              </w:rPr>
              <w:t xml:space="preserve">ОП.01. Основы анатомии сельскохозяйственных животных</w:t>
            </w:r>
          </w:p>
        </w:tc>
        <w:tc>
          <w:tcPr>
            <w:tcW w:w="1630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1.1 - 1.2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3.1 - 3.2</w:t>
            </w:r>
          </w:p>
          <w:p>
            <w:pPr>
              <w:pStyle w:val="0"/>
            </w:pPr>
            <w:r>
              <w:rPr>
                <w:sz w:val="20"/>
              </w:rPr>
              <w:t xml:space="preserve">ПК 4.1 - 4.2</w:t>
            </w:r>
          </w:p>
          <w:p>
            <w:pPr>
              <w:pStyle w:val="0"/>
            </w:pPr>
            <w:r>
              <w:rPr>
                <w:sz w:val="20"/>
              </w:rPr>
              <w:t xml:space="preserve">ПК 5.1 - 5.3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370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простейшие микробиологические исследования и давать оценку полученных результатов;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соблюдать правила личной гигиены и санитарные требования в условиях пищевого производства;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санитарную обработку оборудования и инвентаря;</w:t>
            </w:r>
          </w:p>
          <w:p>
            <w:pPr>
              <w:pStyle w:val="0"/>
            </w:pPr>
            <w:r>
              <w:rPr>
                <w:sz w:val="20"/>
              </w:rPr>
              <w:t xml:space="preserve">готовить растворы дезинфицирующих и моющих средств;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группы микроорганизмов;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пищевые инфекции и пищевые отравления;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возможные источники микробиологического загрязнения в пищевом производстве;</w:t>
            </w:r>
          </w:p>
          <w:p>
            <w:pPr>
              <w:pStyle w:val="0"/>
            </w:pPr>
            <w:r>
              <w:rPr>
                <w:sz w:val="20"/>
              </w:rPr>
              <w:t xml:space="preserve">санитарно-технологические требования к помещениям, оборудованию, инвентарю, одежде;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личной гигиены работников пищевых производств;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моющих средств, правила их применения, условия и сроки их хранения;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проведения дезинфекции, дезинсекции, дератизации</w:t>
            </w:r>
          </w:p>
        </w:tc>
        <w:tc>
          <w:tcPr>
            <w:tcW w:w="163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3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30" w:type="dxa"/>
          </w:tcPr>
          <w:p>
            <w:pPr>
              <w:pStyle w:val="0"/>
            </w:pPr>
            <w:r>
              <w:rPr>
                <w:sz w:val="20"/>
              </w:rPr>
              <w:t xml:space="preserve">ОП.02. Основы микробиологии, санитарии и гигиены в пищевом производстве</w:t>
            </w:r>
          </w:p>
        </w:tc>
        <w:tc>
          <w:tcPr>
            <w:tcW w:w="1630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1.1 - 1.2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3.1 - 3.2</w:t>
            </w:r>
          </w:p>
          <w:p>
            <w:pPr>
              <w:pStyle w:val="0"/>
            </w:pPr>
            <w:r>
              <w:rPr>
                <w:sz w:val="20"/>
              </w:rPr>
              <w:t xml:space="preserve">ПК 4.1 - 4.2</w:t>
            </w:r>
          </w:p>
          <w:p>
            <w:pPr>
              <w:pStyle w:val="0"/>
            </w:pPr>
            <w:r>
              <w:rPr>
                <w:sz w:val="20"/>
              </w:rPr>
              <w:t xml:space="preserve">ПК 5.1 - 5.3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370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общих вопросах экономики производства пищевой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экономические и правовые знания в конкретных производственных ситуациях;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защищать свои трудовые права в рамках действующего законодательства;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рыночной экономики;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организационно-правовые формы организаций;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положения законодательства, регулирующего трудовые отношения;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механизмы формирования заработной платы;</w:t>
            </w:r>
          </w:p>
          <w:p>
            <w:pPr>
              <w:pStyle w:val="0"/>
            </w:pPr>
            <w:r>
              <w:rPr>
                <w:sz w:val="20"/>
              </w:rPr>
              <w:t xml:space="preserve">формы оплаты труда</w:t>
            </w:r>
          </w:p>
        </w:tc>
        <w:tc>
          <w:tcPr>
            <w:tcW w:w="163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3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30" w:type="dxa"/>
          </w:tcPr>
          <w:p>
            <w:pPr>
              <w:pStyle w:val="0"/>
            </w:pPr>
            <w:r>
              <w:rPr>
                <w:sz w:val="20"/>
              </w:rPr>
              <w:t xml:space="preserve">ОП.03. Экономические и правовые основы производственной деятельности</w:t>
            </w:r>
          </w:p>
        </w:tc>
        <w:tc>
          <w:tcPr>
            <w:tcW w:w="1630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1.1 - 1.2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3.1 - 3.2</w:t>
            </w:r>
          </w:p>
          <w:p>
            <w:pPr>
              <w:pStyle w:val="0"/>
            </w:pPr>
            <w:r>
              <w:rPr>
                <w:sz w:val="20"/>
              </w:rPr>
              <w:t xml:space="preserve">ПК 4.1 - 4.2</w:t>
            </w:r>
          </w:p>
          <w:p>
            <w:pPr>
              <w:pStyle w:val="0"/>
            </w:pPr>
            <w:r>
              <w:rPr>
                <w:sz w:val="20"/>
              </w:rPr>
              <w:t xml:space="preserve">ПК 5.1 - 5.3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370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средства индивидуальной и коллективной защиты от оружия массового поражения;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первичные средства пожаротушения;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перечне военно-учетных специальностей и самостоятельно определять среди</w:t>
            </w:r>
          </w:p>
          <w:p>
            <w:pPr>
              <w:pStyle w:val="0"/>
            </w:pPr>
            <w:r>
              <w:rPr>
                <w:sz w:val="20"/>
              </w:rPr>
              <w:t xml:space="preserve">них родственные полученной профессии;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профессиональные знания в ходе исполнения обязанностей военной службы на воинских должностях в соответствии с полученной профессией;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оказывать первую помощь пострадавшим;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военной службы и обороны государства;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задачи и основные мероприятия гражданской обороны;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защиты населения от оружия массового поражения; меры пожарной безопасности и правила безопасного поведения при пожарах;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и порядок призыва граждан на военную службу и поступления на нее в добровольном порядке;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профессиям СПО;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область применения получаемых профессиональных знаний при исполнении обязанностей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и правила оказания первой помощи пострадавшим</w:t>
            </w:r>
          </w:p>
        </w:tc>
        <w:tc>
          <w:tcPr>
            <w:tcW w:w="163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3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</w:t>
            </w:r>
          </w:p>
        </w:tc>
        <w:tc>
          <w:tcPr>
            <w:tcW w:w="1630" w:type="dxa"/>
          </w:tcPr>
          <w:p>
            <w:pPr>
              <w:pStyle w:val="0"/>
            </w:pPr>
            <w:r>
              <w:rPr>
                <w:sz w:val="20"/>
              </w:rPr>
              <w:t xml:space="preserve">ОП.04. Безопасность жизнедеятельности</w:t>
            </w:r>
          </w:p>
        </w:tc>
        <w:tc>
          <w:tcPr>
            <w:tcW w:w="1630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1.1 - 1.2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3.1 - 3.2</w:t>
            </w:r>
          </w:p>
          <w:p>
            <w:pPr>
              <w:pStyle w:val="0"/>
            </w:pPr>
            <w:r>
              <w:rPr>
                <w:sz w:val="20"/>
              </w:rPr>
              <w:t xml:space="preserve">ПК 4.1 - 4.2</w:t>
            </w:r>
          </w:p>
          <w:p>
            <w:pPr>
              <w:pStyle w:val="0"/>
            </w:pPr>
            <w:r>
              <w:rPr>
                <w:sz w:val="20"/>
              </w:rPr>
              <w:t xml:space="preserve">ПК 5.1 - 5.3</w:t>
            </w:r>
          </w:p>
        </w:tc>
      </w:tr>
      <w:tr>
        <w:tc>
          <w:tcPr>
            <w:tcW w:w="1180" w:type="dxa"/>
          </w:tcPr>
          <w:p>
            <w:pPr>
              <w:pStyle w:val="0"/>
            </w:pPr>
            <w:r>
              <w:rPr>
                <w:sz w:val="20"/>
              </w:rPr>
              <w:t xml:space="preserve">П.00</w:t>
            </w:r>
          </w:p>
        </w:tc>
        <w:tc>
          <w:tcPr>
            <w:tcW w:w="3700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Профессиональный учебный цикл</w:t>
            </w:r>
          </w:p>
        </w:tc>
        <w:tc>
          <w:tcPr>
            <w:tcW w:w="163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590</w:t>
            </w:r>
          </w:p>
        </w:tc>
        <w:tc>
          <w:tcPr>
            <w:tcW w:w="163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400</w:t>
            </w:r>
          </w:p>
        </w:tc>
        <w:tc>
          <w:tcPr>
            <w:tcW w:w="163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3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180" w:type="dxa"/>
          </w:tcPr>
          <w:p>
            <w:pPr>
              <w:pStyle w:val="0"/>
            </w:pPr>
            <w:r>
              <w:rPr>
                <w:sz w:val="20"/>
              </w:rPr>
              <w:t xml:space="preserve">ПМ.00</w:t>
            </w:r>
          </w:p>
        </w:tc>
        <w:tc>
          <w:tcPr>
            <w:tcW w:w="3700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Профессиональные модули</w:t>
            </w:r>
          </w:p>
        </w:tc>
        <w:tc>
          <w:tcPr>
            <w:tcW w:w="163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590</w:t>
            </w:r>
          </w:p>
        </w:tc>
        <w:tc>
          <w:tcPr>
            <w:tcW w:w="163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400</w:t>
            </w:r>
          </w:p>
        </w:tc>
        <w:tc>
          <w:tcPr>
            <w:tcW w:w="163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3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180" w:type="dxa"/>
          </w:tcPr>
          <w:p>
            <w:pPr>
              <w:pStyle w:val="0"/>
            </w:pPr>
            <w:r>
              <w:rPr>
                <w:sz w:val="20"/>
              </w:rPr>
              <w:t xml:space="preserve">ПМ.01</w:t>
            </w:r>
          </w:p>
        </w:tc>
        <w:tc>
          <w:tcPr>
            <w:tcW w:w="3700" w:type="dxa"/>
          </w:tcPr>
          <w:p>
            <w:pPr>
              <w:pStyle w:val="0"/>
            </w:pPr>
            <w:r>
              <w:rPr>
                <w:sz w:val="20"/>
              </w:rPr>
              <w:t xml:space="preserve">Прием и содержание скота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приема скота;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содержания скота;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оформления приемо-сдаточной документации;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соблюдать ветеринарно-санитарные требования к приему скота;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готовить кормушки и автопоилки для кормления и поения скота;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электропогонялками;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взвешивать скот на механических или электронных весах;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продуктивность скота по внешним признакам (методом наружного осмотра и прощупывания животных);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сортировать скот по группам с учетом пола, возраста и упитанности;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размещать скот в загонах;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контролировать условия и режимы содержания скота до убоя;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мойку скота перед убоем;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сопровождающую документацию;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скота, перерабатываемого на предприятиях по производству мяса и мясных продуктов;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направления продуктивности сельскохозяйственных животных;</w:t>
            </w:r>
          </w:p>
          <w:p>
            <w:pPr>
              <w:pStyle w:val="0"/>
            </w:pPr>
            <w:r>
              <w:rPr>
                <w:sz w:val="20"/>
              </w:rPr>
              <w:t xml:space="preserve">характеристику пород крупного и мелкого рогатого скота и свиней;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приема скота;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ветеринарно-санитарные требования к приему скота;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сопровождающей документации на скот;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размещения скота в сортировочных загонах;</w:t>
            </w:r>
          </w:p>
          <w:p>
            <w:pPr>
              <w:pStyle w:val="0"/>
            </w:pPr>
            <w:r>
              <w:rPr>
                <w:sz w:val="20"/>
              </w:rPr>
              <w:t xml:space="preserve">условия и режимы содержания скота до убоя;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подготовки скота к убою;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действующего стандарта на скот для убоя</w:t>
            </w:r>
          </w:p>
        </w:tc>
        <w:tc>
          <w:tcPr>
            <w:tcW w:w="163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3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30" w:type="dxa"/>
          </w:tcPr>
          <w:p>
            <w:pPr>
              <w:pStyle w:val="0"/>
            </w:pPr>
            <w:r>
              <w:rPr>
                <w:sz w:val="20"/>
              </w:rPr>
              <w:t xml:space="preserve">МДК.01.01. Технологии приема и содержания скота до убоя</w:t>
            </w:r>
          </w:p>
        </w:tc>
        <w:tc>
          <w:tcPr>
            <w:tcW w:w="1630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1.1 - 1.2</w:t>
            </w:r>
          </w:p>
        </w:tc>
      </w:tr>
      <w:tr>
        <w:tc>
          <w:tcPr>
            <w:tcW w:w="118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ПМ.02</w:t>
            </w:r>
          </w:p>
        </w:tc>
        <w:tc>
          <w:tcPr>
            <w:tcW w:w="370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Первичная переработка скота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оглушения, убоя и обескровливания животных;</w:t>
            </w:r>
          </w:p>
          <w:p>
            <w:pPr>
              <w:pStyle w:val="0"/>
            </w:pPr>
            <w:r>
              <w:rPr>
                <w:sz w:val="20"/>
              </w:rPr>
              <w:t xml:space="preserve">съемки шкур;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разделки туш;</w:t>
            </w:r>
          </w:p>
          <w:p>
            <w:pPr>
              <w:pStyle w:val="0"/>
            </w:pPr>
            <w:r>
              <w:rPr>
                <w:sz w:val="20"/>
              </w:rPr>
              <w:t xml:space="preserve">взвешивания туш и полутуш;</w:t>
            </w:r>
          </w:p>
          <w:p>
            <w:pPr>
              <w:pStyle w:val="0"/>
            </w:pPr>
            <w:r>
              <w:rPr>
                <w:sz w:val="20"/>
              </w:rPr>
              <w:t xml:space="preserve">сдачи продукции на охлаждение;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технологические операции оглушения животных различными способами (электрическим током, механическим орудием, в том числе молотом и стилетом);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технологические операции обескровливания животных в вертикальном и горизонтальном положениях;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снимать шкуры с туш ручным и механическим способами;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мездрить шкуры;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технологические операции удаления щетины, ошпарки и опалки туш свиней;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выявлять дефекты, ухудшающие товарный вид туши, и исправлять их;</w:t>
            </w:r>
          </w:p>
          <w:p>
            <w:pPr>
              <w:pStyle w:val="0"/>
            </w:pPr>
            <w:r>
              <w:rPr>
                <w:sz w:val="20"/>
              </w:rPr>
              <w:t xml:space="preserve">извлекать внутренние органы;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туалет туш и полутуш;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распиловку туш;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транспортировать туши и полутуши для дальнейшей обработки;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характеристику основных технологических процессов переработки крупного и мелкого рогатого скота, свиней;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устройство и принцип действия технологического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точки ветеринарного и производственного контроля в цехе убоя скота и разделки туш;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нормативно-технической документации;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государственные стандарты и технические условия на продукты убоя;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сдачи готовой продукции</w:t>
            </w:r>
          </w:p>
        </w:tc>
        <w:tc>
          <w:tcPr>
            <w:tcW w:w="163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3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3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МДК.02.01. Технология переработки крупного рогатого скота</w:t>
            </w:r>
          </w:p>
        </w:tc>
        <w:tc>
          <w:tcPr>
            <w:tcW w:w="163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2.1 - 2.3</w:t>
            </w:r>
          </w:p>
        </w:tc>
      </w:tr>
      <w:tr>
        <w:tblPrEx>
          <w:tblBorders>
            <w:insideH w:val="nil"/>
          </w:tblBorders>
        </w:tblPrEx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63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МДК.02.02. Технология переработки мелкого рогатого скота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630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МДК.02.03. Технология переработки свиней</w:t>
            </w:r>
          </w:p>
        </w:tc>
        <w:tc>
          <w:tcPr>
            <w:vMerge w:val="continue"/>
          </w:tcPr>
          <w:p/>
        </w:tc>
      </w:tr>
      <w:tr>
        <w:tc>
          <w:tcPr>
            <w:tcW w:w="1180" w:type="dxa"/>
          </w:tcPr>
          <w:p>
            <w:pPr>
              <w:pStyle w:val="0"/>
            </w:pPr>
            <w:r>
              <w:rPr>
                <w:sz w:val="20"/>
              </w:rPr>
              <w:t xml:space="preserve">ПМ.03</w:t>
            </w:r>
          </w:p>
        </w:tc>
        <w:tc>
          <w:tcPr>
            <w:tcW w:w="3700" w:type="dxa"/>
          </w:tcPr>
          <w:p>
            <w:pPr>
              <w:pStyle w:val="0"/>
            </w:pPr>
            <w:r>
              <w:rPr>
                <w:sz w:val="20"/>
              </w:rPr>
              <w:t xml:space="preserve">Обвалка мяса скота всех видов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правки и заточки ножей;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пользования защитными приспособлениями;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разделки полутуш говядины и свинины;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обвалки частей туш скота всех видов;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обвалки голов крупного рогатого скота;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обрезания пласта шпика со свиных полутуш;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разделку полутуш говядины на 7 частей: лопаточную, шейную, грудную, спинно-реберную, поясничную, крестцовую, задне-тазовую;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разделку свиной полутуши на 3 части: лопаточную, грудино-реберную, заднюю;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обваливать головы крупного рогатого скота;</w:t>
            </w:r>
          </w:p>
          <w:p>
            <w:pPr>
              <w:pStyle w:val="0"/>
            </w:pPr>
            <w:r>
              <w:rPr>
                <w:sz w:val="20"/>
              </w:rPr>
              <w:t xml:space="preserve">срезать шпик со свиных полутуш;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соблюдать границы отделения частей туши при разделке;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последовательно выполнять операции по отделению мышечной, жировой и соединительной тканей с частей скота всех видов;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анатомическое строение туш всех видов скота;</w:t>
            </w:r>
          </w:p>
          <w:p>
            <w:pPr>
              <w:pStyle w:val="0"/>
            </w:pPr>
            <w:r>
              <w:rPr>
                <w:sz w:val="20"/>
              </w:rPr>
              <w:t xml:space="preserve">типы сочленений костей скелета;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расположение мышечной, жировой и соединительной тканей у всех видов скота;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и схему разделки;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наименование частей туш;</w:t>
            </w:r>
          </w:p>
          <w:p>
            <w:pPr>
              <w:pStyle w:val="0"/>
            </w:pPr>
            <w:r>
              <w:rPr>
                <w:sz w:val="20"/>
              </w:rPr>
              <w:t xml:space="preserve">границы отделения частей туши при разделке;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отличительные признаки левой и правой половины разных частей полутуши;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действующих стандартов на готовую продукцию;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и причины дефектов при разделке, меры их устранения и предупреждения;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приемы и методы вертикального, дифференцированного, потушного способов обвалки мяса скота всех видов;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разделки мяса для колбасного и кулинарного производства</w:t>
            </w:r>
          </w:p>
        </w:tc>
        <w:tc>
          <w:tcPr>
            <w:tcW w:w="163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3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30" w:type="dxa"/>
          </w:tcPr>
          <w:p>
            <w:pPr>
              <w:pStyle w:val="0"/>
            </w:pPr>
            <w:r>
              <w:rPr>
                <w:sz w:val="20"/>
              </w:rPr>
              <w:t xml:space="preserve">МДК.03.01. Технология обвалки мяса</w:t>
            </w:r>
          </w:p>
        </w:tc>
        <w:tc>
          <w:tcPr>
            <w:tcW w:w="1630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3.1 - 3.2</w:t>
            </w:r>
          </w:p>
        </w:tc>
      </w:tr>
      <w:tr>
        <w:tc>
          <w:tcPr>
            <w:tcW w:w="1180" w:type="dxa"/>
          </w:tcPr>
          <w:p>
            <w:pPr>
              <w:pStyle w:val="0"/>
            </w:pPr>
            <w:r>
              <w:rPr>
                <w:sz w:val="20"/>
              </w:rPr>
              <w:t xml:space="preserve">ПМ.04</w:t>
            </w:r>
          </w:p>
        </w:tc>
        <w:tc>
          <w:tcPr>
            <w:tcW w:w="3700" w:type="dxa"/>
          </w:tcPr>
          <w:p>
            <w:pPr>
              <w:pStyle w:val="0"/>
            </w:pPr>
            <w:r>
              <w:rPr>
                <w:sz w:val="20"/>
              </w:rPr>
              <w:t xml:space="preserve">Жиловка мяса и субпродуктов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жиловки мяса (по видам) и разделения его по сортам;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подготовки субпродуктов к жиловке;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жиловки субпродуктов первой и второй категории скота всех видов;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жиловать и разбирать мясо по сортам;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соблюдать установленные нормы выходов жилованного мяса (по видам);</w:t>
            </w:r>
          </w:p>
          <w:p>
            <w:pPr>
              <w:pStyle w:val="0"/>
            </w:pPr>
            <w:r>
              <w:rPr>
                <w:sz w:val="20"/>
              </w:rPr>
              <w:t xml:space="preserve">отделять сухожилия, пленки, крупные кровеносные сосуды, жир, остатки костей и хрящей;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разрезать мясо на куски установленного размера;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промывать субпродукты, разбирать, зачищать их от остатков оболочки, удалять пленки, жировые отложения, кровоподтеки;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раскладывать в отдельную тару мясо по сортам, субпродукты, отжилованный жир, хрящи, сухожилия, пленки и отходы;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специальной, защитной одеждой (кольчужной и подкладочной перчаткой);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сорт жилованного мяса;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качество процесса жиловки мяса всех видов и субпродуктов;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анатомическое строение туш крупного и мелкого рогатого скота, свиней;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расположение мышечной, жировой и соединительной тканей;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приемы и способы жиловки мяса (по видам);</w:t>
            </w:r>
          </w:p>
          <w:p>
            <w:pPr>
              <w:pStyle w:val="0"/>
            </w:pPr>
            <w:r>
              <w:rPr>
                <w:sz w:val="20"/>
              </w:rPr>
              <w:t xml:space="preserve">средние нормы выходов жилованого мяса при жиловке по сортам;</w:t>
            </w:r>
          </w:p>
          <w:p>
            <w:pPr>
              <w:pStyle w:val="0"/>
            </w:pPr>
            <w:r>
              <w:rPr>
                <w:sz w:val="20"/>
              </w:rPr>
              <w:t xml:space="preserve">допустимое наличие соединительной ткани в виде пленок к массе мяса при сортовой жиловке;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номенклатуру субпродуктов и разделение их на группы и категории;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химический состав и пищевую ценность субпродуктов;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технологические операции жиловки мяса и субпродуктов;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технологические требования к качеству жиловки;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дефектов жиловки и способы их предупреждения и устранения</w:t>
            </w:r>
          </w:p>
        </w:tc>
        <w:tc>
          <w:tcPr>
            <w:tcW w:w="163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3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30" w:type="dxa"/>
          </w:tcPr>
          <w:p>
            <w:pPr>
              <w:pStyle w:val="0"/>
            </w:pPr>
            <w:r>
              <w:rPr>
                <w:sz w:val="20"/>
              </w:rPr>
              <w:t xml:space="preserve">МДК.04.01. Технология жиловки мяса и субпродуктов</w:t>
            </w:r>
          </w:p>
        </w:tc>
        <w:tc>
          <w:tcPr>
            <w:tcW w:w="1630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4.1 - 4.2</w:t>
            </w:r>
          </w:p>
        </w:tc>
      </w:tr>
      <w:tr>
        <w:tc>
          <w:tcPr>
            <w:tcW w:w="1180" w:type="dxa"/>
          </w:tcPr>
          <w:p>
            <w:pPr>
              <w:pStyle w:val="0"/>
            </w:pPr>
            <w:r>
              <w:rPr>
                <w:sz w:val="20"/>
              </w:rPr>
              <w:t xml:space="preserve">ПМ.05</w:t>
            </w:r>
          </w:p>
        </w:tc>
        <w:tc>
          <w:tcPr>
            <w:tcW w:w="3700" w:type="dxa"/>
          </w:tcPr>
          <w:p>
            <w:pPr>
              <w:pStyle w:val="0"/>
            </w:pPr>
            <w:r>
              <w:rPr>
                <w:sz w:val="20"/>
              </w:rPr>
              <w:t xml:space="preserve">Изготовление натуральных мясных полуфабрикатов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выделения и подготовки крупнокусковых мясных полуфабрикатов;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изготовления мясных натуральных полуфабрикатов;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выделять и подготавливать крупнокусковые мясные полуфабрикаты для производства натуральных бескостных порционных, мелкокусковых и панированных мясных полуфабрикатов;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соблюдать установленные нормы выработки;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обслуживать оборудование для нарезания, упаковывания и взвешивания полуфабрикатов;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вести техническую документацию;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выявлять и устранять причины, вызывающие брак готовой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номенклатуру и ассортимент натуральных мясных полуфабрикатов;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вспомогательного сырья, специй и упаковочных материалов, используемых для производства натуральных мясных полуфабрикатов, предъявляемые к ним требования;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 частей туш для выработки натуральных мясных полуфабрикатов;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действующих стандартов к качеству натуральных мясных полуфабрикатов;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технологические операции производства натуральных мясных полуфабрикатов из говядины, свинины, баранины;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установленные размеры порций;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нормы расхода сырья и вспомогательных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ведения технической документации;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причины, вызывающие брак готовой продукции, методы их предупреждения и устранения;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устройство, принцип действия и правила эксплуатации оборудования для производства натуральных мясных полуфабрикатов</w:t>
            </w:r>
          </w:p>
        </w:tc>
        <w:tc>
          <w:tcPr>
            <w:tcW w:w="163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3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30" w:type="dxa"/>
          </w:tcPr>
          <w:p>
            <w:pPr>
              <w:pStyle w:val="0"/>
            </w:pPr>
            <w:r>
              <w:rPr>
                <w:sz w:val="20"/>
              </w:rPr>
              <w:t xml:space="preserve">МДК.05.01. Технология изготовления натуральных мясных полуфабрикатов</w:t>
            </w:r>
          </w:p>
        </w:tc>
        <w:tc>
          <w:tcPr>
            <w:tcW w:w="1630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5.1 - 5.3</w:t>
            </w:r>
          </w:p>
        </w:tc>
      </w:tr>
      <w:tr>
        <w:tc>
          <w:tcPr>
            <w:tcW w:w="1180" w:type="dxa"/>
          </w:tcPr>
          <w:p>
            <w:pPr>
              <w:pStyle w:val="0"/>
            </w:pPr>
            <w:r>
              <w:rPr>
                <w:sz w:val="20"/>
              </w:rPr>
              <w:t xml:space="preserve">ФК.00</w:t>
            </w:r>
          </w:p>
        </w:tc>
        <w:tc>
          <w:tcPr>
            <w:tcW w:w="3700" w:type="dxa"/>
          </w:tcPr>
          <w:p>
            <w:pPr>
              <w:pStyle w:val="0"/>
            </w:pPr>
            <w:r>
              <w:rPr>
                <w:sz w:val="20"/>
              </w:rPr>
              <w:t xml:space="preserve">Физическая культура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освоения раздела "Физическая культура"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 роли физической культуры в общекультурном, профессиональном и социальном развитии человека;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здорового образа жизни</w:t>
            </w:r>
          </w:p>
        </w:tc>
        <w:tc>
          <w:tcPr>
            <w:tcW w:w="163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</w:t>
            </w:r>
          </w:p>
        </w:tc>
        <w:tc>
          <w:tcPr>
            <w:tcW w:w="163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  <w:tc>
          <w:tcPr>
            <w:tcW w:w="163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630" w:type="dxa"/>
          </w:tcPr>
          <w:p>
            <w:pPr>
              <w:pStyle w:val="0"/>
            </w:pPr>
            <w:r>
              <w:rPr>
                <w:sz w:val="20"/>
              </w:rPr>
              <w:t xml:space="preserve">ОК 2</w:t>
            </w:r>
          </w:p>
          <w:p>
            <w:pPr>
              <w:pStyle w:val="0"/>
            </w:pPr>
            <w:r>
              <w:rPr>
                <w:sz w:val="20"/>
              </w:rPr>
              <w:t xml:space="preserve">ОК 3</w:t>
            </w:r>
          </w:p>
          <w:p>
            <w:pPr>
              <w:pStyle w:val="0"/>
            </w:pPr>
            <w:r>
              <w:rPr>
                <w:sz w:val="20"/>
              </w:rPr>
              <w:t xml:space="preserve">ОК 6</w:t>
            </w:r>
          </w:p>
          <w:p>
            <w:pPr>
              <w:pStyle w:val="0"/>
            </w:pPr>
            <w:r>
              <w:rPr>
                <w:sz w:val="20"/>
              </w:rPr>
              <w:t xml:space="preserve">ОК 7</w:t>
            </w:r>
          </w:p>
        </w:tc>
      </w:tr>
      <w:tr>
        <w:tc>
          <w:tcPr>
            <w:tcW w:w="11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700" w:type="dxa"/>
          </w:tcPr>
          <w:p>
            <w:pPr>
              <w:pStyle w:val="0"/>
            </w:pPr>
            <w:r>
              <w:rPr>
                <w:sz w:val="20"/>
              </w:rPr>
              <w:t xml:space="preserve">Вариативная часть учебных циклов ППКРС (определяется образовательной организацией)</w:t>
            </w:r>
          </w:p>
        </w:tc>
        <w:tc>
          <w:tcPr>
            <w:tcW w:w="163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216</w:t>
            </w:r>
          </w:p>
        </w:tc>
        <w:tc>
          <w:tcPr>
            <w:tcW w:w="163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144</w:t>
            </w:r>
          </w:p>
        </w:tc>
        <w:tc>
          <w:tcPr>
            <w:tcW w:w="163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3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1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700" w:type="dxa"/>
          </w:tcPr>
          <w:p>
            <w:pPr>
              <w:pStyle w:val="0"/>
            </w:pPr>
            <w:r>
              <w:rPr>
                <w:sz w:val="20"/>
              </w:rPr>
              <w:t xml:space="preserve">Итого по обязательной части ППКРС, включая раздел "Физическая культура", и вариативной части ППКРС</w:t>
            </w:r>
          </w:p>
        </w:tc>
        <w:tc>
          <w:tcPr>
            <w:tcW w:w="163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1080</w:t>
            </w:r>
          </w:p>
        </w:tc>
        <w:tc>
          <w:tcPr>
            <w:tcW w:w="163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720</w:t>
            </w:r>
          </w:p>
        </w:tc>
        <w:tc>
          <w:tcPr>
            <w:tcW w:w="163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63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1180" w:type="dxa"/>
          </w:tcPr>
          <w:p>
            <w:pPr>
              <w:pStyle w:val="0"/>
            </w:pPr>
            <w:r>
              <w:rPr>
                <w:sz w:val="20"/>
              </w:rPr>
              <w:t xml:space="preserve">УП.00</w:t>
            </w:r>
          </w:p>
        </w:tc>
        <w:tc>
          <w:tcPr>
            <w:tcW w:w="3700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630" w:type="dxa"/>
            <w:vAlign w:val="center"/>
            <w:tcBorders>
              <w:bottom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 нед./39 нед.</w:t>
            </w:r>
          </w:p>
        </w:tc>
        <w:tc>
          <w:tcPr>
            <w:tcW w:w="1630" w:type="dxa"/>
            <w:vAlign w:val="center"/>
            <w:tcBorders>
              <w:bottom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684/1404</w:t>
            </w:r>
          </w:p>
        </w:tc>
        <w:tc>
          <w:tcPr>
            <w:tcW w:w="1630" w:type="dxa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30" w:type="dxa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1.1 - 1.2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3.1 - 3.2</w:t>
            </w:r>
          </w:p>
          <w:p>
            <w:pPr>
              <w:pStyle w:val="0"/>
            </w:pPr>
            <w:r>
              <w:rPr>
                <w:sz w:val="20"/>
              </w:rPr>
              <w:t xml:space="preserve">ПК 4.1 - 4.2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 5.1 - 5.3</w:t>
            </w:r>
          </w:p>
        </w:tc>
      </w:tr>
      <w:tr>
        <w:tblPrEx>
          <w:tblBorders>
            <w:insideH w:val="nil"/>
          </w:tblBorders>
        </w:tblPrEx>
        <w:tc>
          <w:tcPr>
            <w:tcW w:w="118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ПП.00</w:t>
            </w:r>
          </w:p>
        </w:tc>
        <w:tc>
          <w:tcPr>
            <w:tcW w:w="370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</w:tr>
      <w:tr>
        <w:tblPrEx>
          <w:tblBorders>
            <w:insideH w:val="nil"/>
          </w:tblBorders>
        </w:tblPrEx>
        <w:tc>
          <w:tcPr>
            <w:gridSpan w:val="6"/>
            <w:tcW w:w="11400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21" w:tooltip="Приказ Минобрнауки России от 09.04.2015 N 390 (ред. от 13.01.2021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199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Минобрнауки России от 09.04.2015 N 390)</w:t>
            </w:r>
          </w:p>
        </w:tc>
      </w:tr>
      <w:tr>
        <w:tblPrEx>
          <w:tblBorders>
            <w:insideH w:val="nil"/>
          </w:tblBorders>
        </w:tblPrEx>
        <w:tc>
          <w:tcPr>
            <w:tcW w:w="118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ПА.00</w:t>
            </w:r>
          </w:p>
        </w:tc>
        <w:tc>
          <w:tcPr>
            <w:tcW w:w="370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630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нед./2 нед.</w:t>
            </w:r>
          </w:p>
        </w:tc>
        <w:tc>
          <w:tcPr>
            <w:tcW w:w="1630" w:type="dxa"/>
            <w:vAlign w:val="center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3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3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gridSpan w:val="6"/>
            <w:tcW w:w="11400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22" w:tooltip="Приказ Минобрнауки России от 09.04.2015 N 390 (ред. от 13.01.2021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199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Минобрнауки России от 09.04.2015 N 390)</w:t>
            </w:r>
          </w:p>
        </w:tc>
      </w:tr>
      <w:tr>
        <w:tblPrEx>
          <w:tblBorders>
            <w:insideH w:val="nil"/>
          </w:tblBorders>
        </w:tblPrEx>
        <w:tc>
          <w:tcPr>
            <w:tcW w:w="118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ГИА.00</w:t>
            </w:r>
          </w:p>
        </w:tc>
        <w:tc>
          <w:tcPr>
            <w:tcW w:w="370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630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нед./2 нед.</w:t>
            </w:r>
          </w:p>
        </w:tc>
        <w:tc>
          <w:tcPr>
            <w:tcW w:w="1630" w:type="dxa"/>
            <w:vAlign w:val="center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3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3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gridSpan w:val="6"/>
            <w:tcW w:w="11400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23" w:tooltip="Приказ Минобрнауки России от 09.04.2015 N 390 (ред. от 13.01.2021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199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Минобрнауки России от 09.04.2015 N 390)</w:t>
            </w:r>
          </w:p>
        </w:tc>
      </w:tr>
    </w:tbl>
    <w:p>
      <w:pPr>
        <w:sectPr>
          <w:headerReference w:type="default" r:id="rId19"/>
          <w:headerReference w:type="first" r:id="rId19"/>
          <w:footerReference w:type="default" r:id="rId20"/>
          <w:footerReference w:type="first" r:id="rId20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3</w:t>
      </w:r>
    </w:p>
    <w:p>
      <w:pPr>
        <w:pStyle w:val="0"/>
        <w:jc w:val="center"/>
      </w:pPr>
      <w:r>
        <w:rPr>
          <w:sz w:val="20"/>
        </w:rPr>
        <w:t xml:space="preserve">(в ред. </w:t>
      </w:r>
      <w:hyperlink w:history="0" r:id="rId24" w:tooltip="Приказ Минобрнауки России от 09.04.2015 N 390 (ред. от 13.01.2021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199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Минобрнауки России от 09.04.2015 N 390)</w:t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Срок получения среднего профессионального образования по ППКРС в очной форме обучения составляет 43/65 недель, в том числе: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370"/>
        <w:gridCol w:w="1701"/>
      </w:tblGrid>
      <w:tr>
        <w:tc>
          <w:tcPr>
            <w:tcW w:w="7370" w:type="dxa"/>
          </w:tcPr>
          <w:p>
            <w:pPr>
              <w:pStyle w:val="0"/>
            </w:pPr>
            <w:r>
              <w:rPr>
                <w:sz w:val="20"/>
              </w:rPr>
              <w:t xml:space="preserve">Обучение по учебным циклам и разделу "Физическая культура"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 нед.</w:t>
            </w:r>
          </w:p>
        </w:tc>
      </w:tr>
      <w:tr>
        <w:tc>
          <w:tcPr>
            <w:tcW w:w="7370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701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 нед./39 нед.</w:t>
            </w:r>
          </w:p>
        </w:tc>
      </w:tr>
      <w:tr>
        <w:tc>
          <w:tcPr>
            <w:tcW w:w="737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Производственная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vMerge w:val="continue"/>
          </w:tcPr>
          <w:p/>
        </w:tc>
      </w:tr>
      <w:tr>
        <w:tc>
          <w:tcPr>
            <w:tcW w:w="737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Промежуточная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нед./2 нед.</w:t>
            </w:r>
          </w:p>
        </w:tc>
      </w:tr>
      <w:tr>
        <w:tc>
          <w:tcPr>
            <w:tcW w:w="737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Государственная итоговая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нед./2 нед.</w:t>
            </w:r>
          </w:p>
        </w:tc>
      </w:tr>
      <w:tr>
        <w:tc>
          <w:tcPr>
            <w:tcW w:w="737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Каникулы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нед.</w:t>
            </w:r>
          </w:p>
        </w:tc>
      </w:tr>
      <w:tr>
        <w:tc>
          <w:tcPr>
            <w:tcW w:w="737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Итого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 нед./65 нед.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VII. ТРЕБОВАНИЯ К УСЛОВИЯМ РЕАЛИЗАЦИИ ПРОГРАММЫ ПОДГОТОВКИ</w:t>
      </w:r>
    </w:p>
    <w:p>
      <w:pPr>
        <w:pStyle w:val="2"/>
        <w:jc w:val="center"/>
      </w:pPr>
      <w:r>
        <w:rPr>
          <w:sz w:val="20"/>
        </w:rPr>
        <w:t xml:space="preserve">КВАЛИФИЦИРОВАННЫХ РАБОЧИХ, СЛУЖАЩИХ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7.1. Образовательная организация самостоятельно разрабатывает и утверждает ППКРС в соответствии с ФГОС СПО, определяя профессию или группу профессий рабочих (должностей служащих) по </w:t>
      </w:r>
      <w:hyperlink w:history="0" r:id="rId25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<w:r>
          <w:rPr>
            <w:sz w:val="20"/>
            <w:color w:val="0000ff"/>
          </w:rPr>
          <w:t xml:space="preserve">ОК 016-94</w:t>
        </w:r>
      </w:hyperlink>
      <w:r>
        <w:rPr>
          <w:sz w:val="20"/>
        </w:rPr>
        <w:t xml:space="preserve"> (исходя из рекомендуемого перечня их возможных сочетаний согласно </w:t>
      </w:r>
      <w:hyperlink w:history="0" w:anchor="P88" w:tooltip="3.2. Рекомендуемый перечень возможных сочетаний профессий рабочих, должностей служащих по Общероссийскому классификатору профессий рабочих, должностей служащих и тарифных разрядов (ОК 016-94) при формировании ППКРС:">
        <w:r>
          <w:rPr>
            <w:sz w:val="20"/>
            <w:color w:val="0000ff"/>
          </w:rPr>
          <w:t xml:space="preserve">пункту 3.2</w:t>
        </w:r>
      </w:hyperlink>
      <w:r>
        <w:rPr>
          <w:sz w:val="20"/>
        </w:rPr>
        <w:t xml:space="preserve"> ФГОС СПО), с учетом соответствующей примерной ППКРС.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Перед началом разработки ППКРС образовательная организация должна определить ее специфику с учетом направленности на удовлетворение потребностей рынка труда и работодателей, конкретизировать конечные результаты обучения в виде компетенций, умений и знаний, приобретаемого практического опыта.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Конкретные виды деятельности, к которым готовится обучающийся, должны соответствовать присваиваемым квалификациям, определять содержание образовательной программы, разрабатываемой образовательной организацией совместно с заинтересованными работодателями.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формировании ППКРС образовательная организация: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имеет право использовать объем времени, отведенный на вариативную часть учебных циклов ППКРС, увеличивая при этом объем времени, отведенный на дисциплины и модули обязательной части, на практики, либо вводя новые дисциплины и модули в соответствии с потребностями работодателей и спецификой деятельности образовательной организации;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6" w:tooltip="Приказ Минобрнауки России от 09.04.2015 N 390 (ред. от 13.01.2021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199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Минобрнауки России от 09.04.2015 N 390)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ежегодно обновлять ППКРС с учетом запросов работодателей, особенностей развития региона, науки, культуры, экономики, техники, технологий и социальной сферы в рамках, установленных настоящим ФГОС СПО;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в рабочих программах всех дисциплин и профессиональных модулей четко формулировать требования к результатам их освоения: компетенциям, приобретаемому практическому опыту, знаниям и умениям;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обеспечивать эффективную самостоятельную работу обучающихся в сочетании с совершенствованием управления ею со стороны преподавателей и мастеров производственного обучения;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обеспечивать обучающимся возможность участвовать в формировании индивидуальной образовательной программы;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формировать социокультурную среду, создавать условия, необходимые для всестороннего развития и социализации личности, сохранения здоровья обучающихся, способствовать развитию воспитательного компонента образовательного процесса, включая развитие самоуправления, участие обучающихся в работе общественных организаций, спортивных и творческих клубов;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должна предусматривать при реализации компетентностного подхода использование в образовательном процессе активных форм проведения занятий с применением электронных образовательных ресурсов, деловых и ролевых игр, индивидуальных и групповых проектов, анализа производственных ситуаций, психологических и иных тренингов, групповых дискуссий в сочетании с внеаудиторной работой для формирования и развития общих и профессиональных компетенций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7.2. При реализации ППКРС обучающиеся имеют академические права и обязанности в соответствии с Федеральным </w:t>
      </w:r>
      <w:hyperlink w:history="0" r:id="rId27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29 декабря 2012 г. N 273-ФЗ "Об образовании в Российской Федерации"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2012, N 53, ст. 7598; 2013, N 19, ст. 2326.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7.3. Максимальный объем учебной нагрузки обучающегося составляет 54 академических часа в неделю, включая все виды аудиторной и внеаудиторной (самостоятельной) учебной работы по освоению ППКРС и консультации.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7.4. Максимальный объем аудиторной учебной нагрузки в очной форме обучения составляет 36 академических часов в неделю.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7.5. Максимальный объем аудиторной учебной нагрузки в очно-заочной форме обучения составляет 16 академических часов в неделю.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7.6. Общая продолжительность каникул составляет не менее 10 недель в учебном году при сроке обучения более 1 года и не менее 2 недель в зимний период при сроке обучения 1 год.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7.7. По дисциплине "Физическая культура" могут быть предусмотрены еженедельно 2 часа самостоятельной учебной нагрузки, включая игровые виды подготовки (за счет различных форм внеаудиторных занятий в спортивных клубах, секциях).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7.8. Образовательная организация имеет право для подгрупп девушек использовать 70 процентов учебного времени дисциплины "Безопасность жизнедеятельности", отведенного на изучение основ военной службы, на освоение основ медицинских знаний.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7.9. Получение СПО на базе основного общего образования осуществляется с одновременным получением среднего общего образования в пределах ППКРС. В этом случае ППКРС, реализуемая на базе основного общего образования, разрабатывается на основе требований соответствующих федеральных государственных образовательных стандартов среднего общего и среднего профессионального образования с учетом получаемой профессии СПО.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 освоения ППКРС в очной форме обучения для лиц, обучающихся на базе основного общего образования, увеличивается на 82 недели из расчета: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427"/>
        <w:gridCol w:w="1650"/>
      </w:tblGrid>
      <w:tr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left="567"/>
            </w:pPr>
            <w:r>
              <w:rPr>
                <w:sz w:val="20"/>
              </w:rPr>
              <w:t xml:space="preserve">теоретическое обучение (при обязательной учебной нагрузке 36 часов в неделю)</w:t>
            </w:r>
          </w:p>
        </w:tc>
        <w:tc>
          <w:tcPr>
            <w:tcW w:w="1650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57 нед.</w:t>
            </w:r>
          </w:p>
        </w:tc>
      </w:tr>
      <w:tr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left="567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 нед.</w:t>
            </w:r>
          </w:p>
        </w:tc>
      </w:tr>
      <w:tr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left="567"/>
            </w:pPr>
            <w:r>
              <w:rPr>
                <w:sz w:val="20"/>
              </w:rPr>
              <w:t xml:space="preserve">каникулы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22 нед.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7.10. Консультации для обучающихся по очной и очно-заочной формам обучения предусматриваются образовательной организацией из расчета 4 часа на одного обучающегося на каждый учебный год, в том числе в период реализации образовательной программы среднего общего образования для лиц, обучающихся на базе основного общего образования. Формы проведения консультаций (групповые, индивидуальные, письменные, устные) определяются образовательной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7.11. В период обучения с юношами проводятся учебные сборы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28" w:tooltip="Федеральный закон от 28.03.1998 N 53-ФЗ (ред. от 24.09.2022) &quot;О воинской обязанности и военной службе&quot; (с изм. и доп., вступ. в силу с 13.10.2022) {КонсультантПлюс}">
        <w:r>
          <w:rPr>
            <w:sz w:val="20"/>
            <w:color w:val="0000ff"/>
          </w:rPr>
          <w:t xml:space="preserve">Пункт 1 статьи 13</w:t>
        </w:r>
      </w:hyperlink>
      <w:r>
        <w:rPr>
          <w:sz w:val="20"/>
        </w:rPr>
        <w:t xml:space="preserve"> Федерального закона от 28 марта 1998 г. N 53-ФЗ "О воинской обязанности и военной службе" (Собрание законодательства Российской Федерации, 1998, N 13, ст. 1475; 2004, N 35, ст. 3607; 2005, N 30, ст. 3111; 2007, N 49, ст. 6070; 2008, N 30, ст. 3616; 2013, N 27, ст. 3477).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7.12. Практика является обязательным разделом ППКРС. Она представляет собой вид учебной деятельности, направленной на формирование, закрепление, развитие практических навыков и компетенций в процессе выполнения определенных видов работ, связанных с будущей профессиональной деятельностью. При реализации ППКРС предусматриваются следующие виды практик: учебная и производственная.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Учебная практика и производственная практика проводятся образовательной организацией при освоении обучающимися профессиональных компетенций в рамках профессиональных модулей и могут реализовываться как концентрированно в несколько периодов, так и рассредоточенно, чередуясь с теоретическими занятиями в рамках профессиональных модулей.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Цели и задачи, программы и формы отчетности определяются образовательной организацией по каждому виду практики.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должна проводиться в организациях, направление деятельности которых соответствует профилю подготовки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Аттестация по итогам производственной практики проводится с учетом (или на основании) результатов, подтвержденных документами соответствующих организаций.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7.13. Реализация ППКРС должна обеспечиваться педагогическими кадрами, имеющими среднее профессиональное или высшее образование, соответствующее профилю преподаваемой дисциплины (модуля). Мастера производственного обучения должны иметь на 1 - 2 разряда по профессии рабочего выше, чем предусмотрено ФГОС СПО для выпускников. 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учебного цикла, эти преподаватели и мастера производственного обучения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7.14. ППКРС должна обеспечиваться учебно-методической документацией по всем дисциплинам, междисциплинарным курсам и профессиональным модулям ППКРС.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Внеаудиторная работа должна сопровождаться методическим обеспечением и обоснованием расчета времени, затрачиваемого на ее выполнение.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ППКРС должна обеспечиваться доступом каждого обучающегося к базам данных и библиотечным фондам, формируемым по полному перечню дисциплин (модулей) ППКРС. Во время самостоятельной подготовки обучающиеся должны быть обеспечены доступом к сети Интернет.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Каждый обучающийся должен быть обеспечен не менее чем одним учебным печатным и/или электронным изданием по каждой дисциплине общепрофессионального учебного цикла и одним учебно-методическим печатным и/или электронным изданием по каждому междисциплинарному курсу (включая электронные базы периодических изданий).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Библиотечный фонд должен быть укомплектован печатными и/или электронными изданиями основной и дополнительной учебной литературы по дисциплинам всех учебных циклов, изданными за последние 5 лет.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Библиотечный фонд, помимо учебной литературы, должен включать официальные, справочно-библиографические и периодические издания в расчете 1 - 2 экземпляра на каждые 100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Каждому обучающемуся должен быть обеспечен доступ к комплектам библиотечного фонда, состоящим не менее чем из 3 наименований отечественных журналов.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должна предоставить обучающимся возможность оперативного обмена информацией с отечественными организациями, в том числе образовательными организациями, и доступ к современным профессиональным базам данных и информационным ресурсам сети Интернет.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7.15. Прием на обучение по ППКРС за счет бюджетных ассигнований федерального бюджета, бюджетов субъектов Российской Федерации и местных бюджетов является общедоступным, если иное не предусмотрено </w:t>
      </w:r>
      <w:hyperlink w:history="0" r:id="rId29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частью 4 статьи 68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&lt;1&gt;. Финансирование реализации ППКРС должно осуществляться в объеме не ниже установленных государственных нормативных затрат на оказание государственной услуги в сфере образования для данного уровня.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2012, N 53, ст. 7598; 2013, N 19, ст. 2326.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7.16. Образовательная организация, реализующая ППКРС, должна располагать материально-технической базой, обеспечивающей проведение всех видов лабораторных работ и практических занятий, дисциплинарной, междисциплинарной и модульной подготовки, учебной практики, предусмотренных учебным планом образовательной организации. Материально-техническая база должна соответствовать действующим санитарным и противопожарным нормам.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Перечень кабинетов, лабораторий, мастерских</w:t>
      </w:r>
    </w:p>
    <w:p>
      <w:pPr>
        <w:pStyle w:val="2"/>
        <w:jc w:val="center"/>
      </w:pPr>
      <w:r>
        <w:rPr>
          <w:sz w:val="20"/>
        </w:rPr>
        <w:t xml:space="preserve">и других помещений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Кабинеты: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общей технологии мяса и мясопродуктов;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технологического оборудования для переработки скота и мяса;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безопасности жизнедеятельности и охраны труда.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Лаборатории: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микробиологии, санитарии и гигиены;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технохимического контроля производства;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технологии обвалки;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технологии жиловки мяса и субпродуктов;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технологии изготовления натуральных мясных полуфабрикатов.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Спортивный комплекс: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спортивный зал;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абзацы пятнадцатый - шестнадцатый утратили силу. - </w:t>
      </w:r>
      <w:hyperlink w:history="0" r:id="rId30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Минпросвещения России от 13.07.2021 N 450.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Залы: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библиотека, читальный зал с выходом в сеть Интернет;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актовый зал.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ППКРС должна обеспечивать: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выполнение обучающимся лабораторных работ и практических занятий, включая как обязательный компонент практические задания с использованием персональных компьютеров;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освоение обучающимся профессиональных модулей в условиях созданной соответствующей образовательной среды в образовательной организации или в организациях в зависимости от специфики вида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должна быть обеспечена необходимым комплектом лицензионного программного обеспечения.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7.17. Реализация ППКРС осуществляется образовательной организацией на государственном языке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ППКРС образовательной организацией, расположенной на территории республики Российской Федерации, может осуществляться на государственном языке республики Российской Федерации в соответствии с законодательством республик Российской Федерации. Реализация ППКРС образовательной организацией на государственном языке республики Российской Федерации не должна осуществляться в ущерб государственному языку Российской Федерации.</w:t>
      </w:r>
    </w:p>
    <w:p>
      <w:pPr>
        <w:pStyle w:val="0"/>
        <w:jc w:val="center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VIII. ТРЕБОВАНИЯ К РЕЗУЛЬТАТАМ ОСВОЕНИЯ ПРОГРАММЫ</w:t>
      </w:r>
    </w:p>
    <w:p>
      <w:pPr>
        <w:pStyle w:val="2"/>
        <w:jc w:val="center"/>
      </w:pPr>
      <w:r>
        <w:rPr>
          <w:sz w:val="20"/>
        </w:rPr>
        <w:t xml:space="preserve">ПОДГОТОВКИ КВАЛИФИЦИРОВАННЫХ РАБОЧИХ, СЛУЖАЩИХ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8.1. Оценка качества освоения ППКРС должна включать текущий контроль успеваемости, промежуточную и государственную итоговую аттестацию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8.2. Конкретные формы и процедуры текущего контроля успеваемости, промежуточной аттестации по каждой дисциплине и профессиональному модулю разрабатываются образовательной организацией самостоятельно и доводятся до сведения обучающихся в течение первых двух месяцев от начала обучения.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8.3. Для аттестации обучающихся на соответствие их персональных достижений поэтапным требованиям соответствующей ППКРС (текущий контроль успеваемости и промежуточная аттестация) создаются фонды оценочных средств, позволяющие оценить умения, знания, практический опыт и освоенные компетенции.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Фонды оценочных средств для промежуточной аттестации по дисциплинам и междисциплинарным курсам в составе профессиональных модулей разрабатываются и утверждаются образовательной организацией самостоятельно, а для промежуточной аттестации по профессиональным модулям и для государственной итоговой аттестации - разрабатываются и утверждаются образовательной организацией после предварительного положительного заключения работодателей.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промежуточной аттестации обучающихся по дисциплинам (междисциплинарным курсам), кроме преподавателей конкретной дисциплины (междисциплинарного курса), в качестве внешних экспертов должны активно привлекаться преподаватели смежных дисциплин (курсов). Для максимального приближения программ промежуточной аттестации обучающихся по профессиональным модулям к условиям их будущей профессиональной деятельности образовательной организацией в качестве внештатных экспертов должны активно привлекаться работодатели.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8.4. Оценка качества подготовки обучающихся и выпускников осуществляется в двух основных направлениях: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уровня освоения дисциплин;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компетенций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юношей предусматривается оценка результатов освоения основ военной службы.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8.5. К государственной итоговой аттестации допускаются обучающиеся, не имеющие академической задолженности и в полном объеме выполнившие учебный план или индивидуальный учебный план по ППКРС, если иное не установлено порядком проведения государственной итоговой аттестации по образовательным программам среднего профессионального образования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31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 6 статьи 59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8.6. Государственная итоговая аттестация включает защиту выпускной квалификационной работы (выпускная практическая квалификационная работа и письменная экзаменационная работа). Обязательные требования - соответствие тематики выпускной квалификационной работы содержанию одного или нескольких профессиональных модулей; выпускная практическая квалификационная работа должна предусматривать сложность работы не ниже разряда по профессии рабочего, предусмотренного ФГОС СПО.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Государственный экзамен вводится по усмотрению образовательной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8.7. Обучающиеся по ППКРС, не имеющие среднего общего образования, в соответствии с </w:t>
      </w:r>
      <w:hyperlink w:history="0" r:id="rId32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частью 6 статьи 68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&lt;1&gt; вправе бесплатно пройти государственную итоговую аттестацию, которой завершается освоение образовательных программ среднего общего образования. При успешном прохождении указанной государственной итоговой аттестации аккредитованной образовательной организацией обучающимся выдается аттестат о среднем общем образовании.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2012, N 53, ст. 7598; 2013, N 19, ст. 2326.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170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02.08.2013 N 794</w:t>
            <w:br/>
            <w:t>(ред. от 13.07.2021)</w:t>
            <w:br/>
            <w:t>"Об утверждении федерального государственного образов...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16.12.2022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190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02.08.2013 N 794</w:t>
            <w:br/>
            <w:t>(ред. от 13.07.2021)</w:t>
            <w:br/>
            <w:t>"Об утверждении федерального государственного образов...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16.12.2022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AB07A2B28538E12A114F31070DE652D244F7BE987D256C0138F29F187A55DF3F20F1C270C18404813732484DAD943217A805CA82027D3262i3Q6H" TargetMode = "External"/>
	<Relationship Id="rId8" Type="http://schemas.openxmlformats.org/officeDocument/2006/relationships/hyperlink" Target="consultantplus://offline/ref=AB07A2B28538E12A114F31070DE652D244F9BE98792F6C0138F29F187A55DF3F20F1C270C18504893232484DAD943217A805CA82027D3262i3Q6H" TargetMode = "External"/>
	<Relationship Id="rId9" Type="http://schemas.openxmlformats.org/officeDocument/2006/relationships/hyperlink" Target="consultantplus://offline/ref=AB07A2B28538E12A114F31070DE652D246F0B29B70256C0138F29F187A55DF3F32F19A7CC0831E8132271E1CEBiCQ3H" TargetMode = "External"/>
	<Relationship Id="rId10" Type="http://schemas.openxmlformats.org/officeDocument/2006/relationships/hyperlink" Target="consultantplus://offline/ref=AB07A2B28538E12A114F31070DE652D244F7BE987D256C0138F29F187A55DF3F20F1C270C18404813732484DAD943217A805CA82027D3262i3Q6H" TargetMode = "External"/>
	<Relationship Id="rId11" Type="http://schemas.openxmlformats.org/officeDocument/2006/relationships/hyperlink" Target="consultantplus://offline/ref=AB07A2B28538E12A114F31070DE652D244F9BE98792F6C0138F29F187A55DF3F20F1C270C18504893232484DAD943217A805CA82027D3262i3Q6H" TargetMode = "External"/>
	<Relationship Id="rId12" Type="http://schemas.openxmlformats.org/officeDocument/2006/relationships/hyperlink" Target="consultantplus://offline/ref=AB07A2B28538E12A114F31070DE652D243F3B59C7B2B6C0138F29F187A55DF3F20F1C270C18502853732484DAD943217A805CA82027D3262i3Q6H" TargetMode = "External"/>
	<Relationship Id="rId13" Type="http://schemas.openxmlformats.org/officeDocument/2006/relationships/hyperlink" Target="consultantplus://offline/ref=AB07A2B28538E12A114F31070DE652D244F9BE98792F6C0138F29F187A55DF3F20F1C270C18504893332484DAD943217A805CA82027D3262i3Q6H" TargetMode = "External"/>
	<Relationship Id="rId14" Type="http://schemas.openxmlformats.org/officeDocument/2006/relationships/hyperlink" Target="consultantplus://offline/ref=AB07A2B28538E12A114F31070DE652D244F9BE98792F6C0138F29F187A55DF3F20F1C270C18504893532484DAD943217A805CA82027D3262i3Q6H" TargetMode = "External"/>
	<Relationship Id="rId15" Type="http://schemas.openxmlformats.org/officeDocument/2006/relationships/hyperlink" Target="consultantplus://offline/ref=AB07A2B28538E12A114F31070DE652D246F3B391712B6C0138F29F187A55DF3F20F1C270C18500813032484DAD943217A805CA82027D3262i3Q6H" TargetMode = "External"/>
	<Relationship Id="rId16" Type="http://schemas.openxmlformats.org/officeDocument/2006/relationships/hyperlink" Target="consultantplus://offline/ref=AB07A2B28538E12A114F31070DE652D244F7BE987D256C0138F29F187A55DF3F20F1C270C18404813832484DAD943217A805CA82027D3262i3Q6H" TargetMode = "External"/>
	<Relationship Id="rId17" Type="http://schemas.openxmlformats.org/officeDocument/2006/relationships/hyperlink" Target="consultantplus://offline/ref=AB07A2B28538E12A114F31070DE652D246F3B391712B6C0138F29F187A55DF3F20F1C270C18500813032484DAD943217A805CA82027D3262i3Q6H" TargetMode = "External"/>
	<Relationship Id="rId18" Type="http://schemas.openxmlformats.org/officeDocument/2006/relationships/hyperlink" Target="consultantplus://offline/ref=AB07A2B28538E12A114F31070DE652D243F2B49C7B2F6C0138F29F187A55DF3F32F19A7CC0831E8132271E1CEBiCQ3H" TargetMode = "External"/>
	<Relationship Id="rId19" Type="http://schemas.openxmlformats.org/officeDocument/2006/relationships/header" Target="header2.xml"/>
	<Relationship Id="rId20" Type="http://schemas.openxmlformats.org/officeDocument/2006/relationships/footer" Target="footer2.xml"/>
	<Relationship Id="rId21" Type="http://schemas.openxmlformats.org/officeDocument/2006/relationships/hyperlink" Target="consultantplus://offline/ref=AB07A2B28538E12A114F31070DE652D244F7BE987D256C0138F29F187A55DF3F20F1C270C18404813932484DAD943217A805CA82027D3262i3Q6H" TargetMode = "External"/>
	<Relationship Id="rId22" Type="http://schemas.openxmlformats.org/officeDocument/2006/relationships/hyperlink" Target="consultantplus://offline/ref=AB07A2B28538E12A114F31070DE652D244F7BE987D256C0138F29F187A55DF3F20F1C270C18404823832484DAD943217A805CA82027D3262i3Q6H" TargetMode = "External"/>
	<Relationship Id="rId23" Type="http://schemas.openxmlformats.org/officeDocument/2006/relationships/hyperlink" Target="consultantplus://offline/ref=AB07A2B28538E12A114F31070DE652D244F7BE987D256C0138F29F187A55DF3F20F1C270C18404833132484DAD943217A805CA82027D3262i3Q6H" TargetMode = "External"/>
	<Relationship Id="rId24" Type="http://schemas.openxmlformats.org/officeDocument/2006/relationships/hyperlink" Target="consultantplus://offline/ref=AB07A2B28538E12A114F31070DE652D244F7BE987D256C0138F29F187A55DF3F20F1C270C18404833532484DAD943217A805CA82027D3262i3Q6H" TargetMode = "External"/>
	<Relationship Id="rId25" Type="http://schemas.openxmlformats.org/officeDocument/2006/relationships/hyperlink" Target="consultantplus://offline/ref=AB07A2B28538E12A114F31070DE652D246F3B391712B6C0138F29F187A55DF3F20F1C270C18500813032484DAD943217A805CA82027D3262i3Q6H" TargetMode = "External"/>
	<Relationship Id="rId26" Type="http://schemas.openxmlformats.org/officeDocument/2006/relationships/hyperlink" Target="consultantplus://offline/ref=AB07A2B28538E12A114F31070DE652D244F7BE987D256C0138F29F187A55DF3F20F1C270C18404853232484DAD943217A805CA82027D3262i3Q6H" TargetMode = "External"/>
	<Relationship Id="rId27" Type="http://schemas.openxmlformats.org/officeDocument/2006/relationships/hyperlink" Target="consultantplus://offline/ref=AB07A2B28538E12A114F31070DE652D243F3B59C7B2B6C0138F29F187A55DF3F32F19A7CC0831E8132271E1CEBiCQ3H" TargetMode = "External"/>
	<Relationship Id="rId28" Type="http://schemas.openxmlformats.org/officeDocument/2006/relationships/hyperlink" Target="consultantplus://offline/ref=AB07A2B28538E12A114F31070DE652D243F2B49C7B2F6C0138F29F187A55DF3F20F1C272C8870BD4617D4911E8C72117AC05C9801Ei7QDH" TargetMode = "External"/>
	<Relationship Id="rId29" Type="http://schemas.openxmlformats.org/officeDocument/2006/relationships/hyperlink" Target="consultantplus://offline/ref=AB07A2B28538E12A114F31070DE652D243F3B59C7B2B6C0138F29F187A55DF3F20F1C270C18509813032484DAD943217A805CA82027D3262i3Q6H" TargetMode = "External"/>
	<Relationship Id="rId30" Type="http://schemas.openxmlformats.org/officeDocument/2006/relationships/hyperlink" Target="consultantplus://offline/ref=AB07A2B28538E12A114F31070DE652D244F9BE98792F6C0138F29F187A55DF3F20F1C270C18504893632484DAD943217A805CA82027D3262i3Q6H" TargetMode = "External"/>
	<Relationship Id="rId31" Type="http://schemas.openxmlformats.org/officeDocument/2006/relationships/hyperlink" Target="consultantplus://offline/ref=AB07A2B28538E12A114F31070DE652D243F3B59C7B2B6C0138F29F187A55DF3F20F1C270C18508803332484DAD943217A805CA82027D3262i3Q6H" TargetMode = "External"/>
	<Relationship Id="rId32" Type="http://schemas.openxmlformats.org/officeDocument/2006/relationships/hyperlink" Target="consultantplus://offline/ref=AB07A2B28538E12A114F31070DE652D243F3B59C7B2B6C0138F29F187A55DF3F20F1C270C18509813232484DAD943217A805CA82027D3262i3Q6H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foot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Минобрнауки России от 02.08.2013 N 794
(ред. от 13.07.2021)
"Об утверждении федерального государственного образовательного стандарта среднего профессионального образования по профессии 260203.01 Переработчик скота и мяса"
(Зарегистрировано в Минюсте России 20.08.2013 N 29473)</dc:title>
  <dcterms:created xsi:type="dcterms:W3CDTF">2022-12-16T07:16:34Z</dcterms:created>
</cp:coreProperties>
</file>