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25.12.2017 N 1259</w:t>
              <w:br/>
              <w:t xml:space="preserve">(ред. от 03.02.2022)</w:t>
              <w:br/>
              <w:t xml:space="preserve">"Об утверждении федерального государственного образовательного стандарта среднего профессионального образования по профессии 08.01.05 Мастер столярно-плотничных и паркетных работ"</w:t>
              <w:br/>
              <w:t xml:space="preserve">(Зарегистрировано в Минюсте России 23.01.2018 N 49734)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января 2018 г. N 49734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25 декабря 2017 г. N 1259</w:t>
      </w:r>
    </w:p>
    <w:p>
      <w:pPr>
        <w:pStyle w:val="2"/>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08.01.05 МАСТЕР СТОЛЯРНО-ПЛОТНИЧНЫХ И ПАРКЕТНЫХ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03.02.2022 N 5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14.03.2022 N 67714) {КонсультантПлюс}">
              <w:r>
                <w:rPr>
                  <w:sz w:val="20"/>
                  <w:color w:val="0000ff"/>
                </w:rPr>
                <w:t xml:space="preserve">Приказа</w:t>
              </w:r>
            </w:hyperlink>
            <w:r>
              <w:rPr>
                <w:sz w:val="20"/>
                <w:color w:val="392c69"/>
              </w:rPr>
              <w:t xml:space="preserve"> Минпросвещения России от 03.02.2022 N 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8"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08.01.05 Мастер столярно-плотничных и паркетных работ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8"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9" w:tooltip="Приказ Минобрнауки России от 02.08.2013 N 748 (ред. от 09.04.2015) &quot;Об утверждении федерального государственного образовательного стандарта среднего профессионального образования по профессии 270802.07 Мастер столярно-плотничных и паркетных работ&quot; (Зарегистрировано в Минюсте России 20.08.2013 N 29554) {КонсультантПлюс}">
        <w:r>
          <w:rPr>
            <w:sz w:val="20"/>
            <w:color w:val="0000ff"/>
          </w:rPr>
          <w:t xml:space="preserve">стандартом</w:t>
        </w:r>
      </w:hyperlink>
      <w:r>
        <w:rPr>
          <w:sz w:val="20"/>
        </w:rPr>
        <w:t xml:space="preserve"> среднего профессионального образования по профессии 270802.07 Мастер столярно-плотничных и паркетных работ, утвержденным приказом Министерства образования и науки Российской Федерации от 2 августа 2013 г. N 748 (зарегистрирован Министерством юстиции Российской Федерации 20 августа 2013 г., регистрационный N 29554),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прекращается 1 сентября 2018 года.</w:t>
      </w:r>
    </w:p>
    <w:p>
      <w:pPr>
        <w:pStyle w:val="0"/>
        <w:spacing w:before="200" w:line-rule="auto"/>
        <w:ind w:firstLine="540"/>
        <w:jc w:val="both"/>
      </w:pPr>
      <w:r>
        <w:rPr>
          <w:sz w:val="20"/>
        </w:rPr>
        <w:t xml:space="preserve">3. Прием на обучение в соответствии со </w:t>
      </w:r>
      <w:hyperlink w:history="0" w:anchor="P38" w:tooltip="ФЕДЕРАЛЬНЫЙ ГОСУДАРСТВЕННЫЙ ОБРАЗОВАТЕЛЬНЫЙ СТАНДАРТ">
        <w:r>
          <w:rPr>
            <w:sz w:val="20"/>
            <w:color w:val="0000ff"/>
          </w:rPr>
          <w:t xml:space="preserve">стандартом</w:t>
        </w:r>
      </w:hyperlink>
      <w:r>
        <w:rPr>
          <w:sz w:val="20"/>
        </w:rPr>
        <w:t xml:space="preserve"> прекращается 31 декабря 2022 года.</w:t>
      </w:r>
    </w:p>
    <w:p>
      <w:pPr>
        <w:pStyle w:val="0"/>
        <w:jc w:val="both"/>
      </w:pPr>
      <w:r>
        <w:rPr>
          <w:sz w:val="20"/>
        </w:rPr>
        <w:t xml:space="preserve">(п. 3 введен </w:t>
      </w:r>
      <w:hyperlink w:history="0" r:id="rId10" w:tooltip="Приказ Минпросвещения России от 03.02.2022 N 50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среднего профессионального образования&quot; (Зарегистрировано в Минюсте России 14.03.2022 N 67714) {КонсультантПлюс}">
        <w:r>
          <w:rPr>
            <w:sz w:val="20"/>
            <w:color w:val="0000ff"/>
          </w:rPr>
          <w:t xml:space="preserve">Приказом</w:t>
        </w:r>
      </w:hyperlink>
      <w:r>
        <w:rPr>
          <w:sz w:val="20"/>
        </w:rPr>
        <w:t xml:space="preserve"> Минпросвещения России от 03.02.2022 N 50)</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России Федерации</w:t>
      </w:r>
    </w:p>
    <w:p>
      <w:pPr>
        <w:pStyle w:val="0"/>
        <w:jc w:val="right"/>
      </w:pPr>
      <w:r>
        <w:rPr>
          <w:sz w:val="20"/>
        </w:rPr>
        <w:t xml:space="preserve">от 25 декабря 2017 г. N 1259</w:t>
      </w:r>
    </w:p>
    <w:p>
      <w:pPr>
        <w:pStyle w:val="0"/>
        <w:jc w:val="both"/>
      </w:pPr>
      <w:r>
        <w:rPr>
          <w:sz w:val="20"/>
        </w:rPr>
      </w:r>
    </w:p>
    <w:bookmarkStart w:id="38" w:name="P38"/>
    <w:bookmarkEnd w:id="38"/>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08.01.05 МАСТЕР СТОЛЯРНО-ПЛОТНИЧНЫХ И ПАРКЕТНЫХ РАБОТ</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08.01.05 Мастер столярно-плотничных и паркетных работ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30" w:tooltip="ПЕРЕЧЕНЬ">
        <w:r>
          <w:rPr>
            <w:sz w:val="20"/>
            <w:color w:val="0000ff"/>
          </w:rPr>
          <w:t xml:space="preserve">приложение N 1</w:t>
        </w:r>
      </w:hyperlink>
      <w:r>
        <w:rPr>
          <w:sz w:val="20"/>
        </w:rPr>
        <w:t xml:space="preserve"> к настоящему ФГОС СПО).</w:t>
      </w:r>
    </w:p>
    <w:bookmarkStart w:id="49" w:name="P49"/>
    <w:bookmarkEnd w:id="49"/>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3" w:tooltip="Федеральный закон от 29.12.2012 N 273-ФЗ (ред. от 21.11.2022) &quot;Об образовании в Российской Федерации&quot; ------------ Недействующая редакция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9" w:name="P69"/>
    <w:bookmarkEnd w:id="69"/>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столяр строительный, плотник и паркетчик;</w:t>
      </w:r>
    </w:p>
    <w:p>
      <w:pPr>
        <w:pStyle w:val="0"/>
        <w:spacing w:before="200" w:line-rule="auto"/>
        <w:ind w:firstLine="540"/>
        <w:jc w:val="both"/>
      </w:pPr>
      <w:r>
        <w:rPr>
          <w:sz w:val="20"/>
        </w:rPr>
        <w:t xml:space="preserve">столяр строительный, плотник и стекольщик.</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1"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86" w:name="P86"/>
    <w:bookmarkEnd w:id="86"/>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362"/>
        <w:gridCol w:w="2708"/>
      </w:tblGrid>
      <w:tr>
        <w:tc>
          <w:tcPr>
            <w:tcW w:w="6362" w:type="dxa"/>
          </w:tcPr>
          <w:p>
            <w:pPr>
              <w:pStyle w:val="0"/>
              <w:jc w:val="center"/>
            </w:pPr>
            <w:r>
              <w:rPr>
                <w:sz w:val="20"/>
              </w:rPr>
              <w:t xml:space="preserve">Структура образовательной программы</w:t>
            </w:r>
          </w:p>
        </w:tc>
        <w:tc>
          <w:tcPr>
            <w:tcW w:w="2708" w:type="dxa"/>
          </w:tcPr>
          <w:p>
            <w:pPr>
              <w:pStyle w:val="0"/>
              <w:jc w:val="center"/>
            </w:pPr>
            <w:r>
              <w:rPr>
                <w:sz w:val="20"/>
              </w:rPr>
              <w:t xml:space="preserve">Объем образовательной программы в академических часах</w:t>
            </w:r>
          </w:p>
        </w:tc>
      </w:tr>
      <w:tr>
        <w:tc>
          <w:tcPr>
            <w:tcW w:w="6362" w:type="dxa"/>
          </w:tcPr>
          <w:p>
            <w:pPr>
              <w:pStyle w:val="0"/>
            </w:pPr>
            <w:r>
              <w:rPr>
                <w:sz w:val="20"/>
              </w:rPr>
              <w:t xml:space="preserve">Общепрофессиональный цикл</w:t>
            </w:r>
          </w:p>
        </w:tc>
        <w:tc>
          <w:tcPr>
            <w:tcW w:w="2708" w:type="dxa"/>
          </w:tcPr>
          <w:p>
            <w:pPr>
              <w:pStyle w:val="0"/>
              <w:jc w:val="center"/>
            </w:pPr>
            <w:r>
              <w:rPr>
                <w:sz w:val="20"/>
              </w:rPr>
              <w:t xml:space="preserve">не менее 180</w:t>
            </w:r>
          </w:p>
        </w:tc>
      </w:tr>
      <w:tr>
        <w:tc>
          <w:tcPr>
            <w:tcW w:w="6362" w:type="dxa"/>
          </w:tcPr>
          <w:p>
            <w:pPr>
              <w:pStyle w:val="0"/>
            </w:pPr>
            <w:r>
              <w:rPr>
                <w:sz w:val="20"/>
              </w:rPr>
              <w:t xml:space="preserve">Профессиональный цикл</w:t>
            </w:r>
          </w:p>
        </w:tc>
        <w:tc>
          <w:tcPr>
            <w:tcW w:w="2708" w:type="dxa"/>
          </w:tcPr>
          <w:p>
            <w:pPr>
              <w:pStyle w:val="0"/>
              <w:jc w:val="center"/>
            </w:pPr>
            <w:r>
              <w:rPr>
                <w:sz w:val="20"/>
              </w:rPr>
              <w:t xml:space="preserve">не менее 972</w:t>
            </w:r>
          </w:p>
        </w:tc>
      </w:tr>
      <w:tr>
        <w:tc>
          <w:tcPr>
            <w:tcW w:w="6362" w:type="dxa"/>
          </w:tcPr>
          <w:p>
            <w:pPr>
              <w:pStyle w:val="0"/>
            </w:pPr>
            <w:r>
              <w:rPr>
                <w:sz w:val="20"/>
              </w:rPr>
              <w:t xml:space="preserve">Государственная итоговая аттестация:</w:t>
            </w:r>
          </w:p>
        </w:tc>
        <w:tc>
          <w:tcPr>
            <w:tcW w:w="2708" w:type="dxa"/>
          </w:tcPr>
          <w:p>
            <w:pPr>
              <w:pStyle w:val="0"/>
            </w:pPr>
            <w:r>
              <w:rPr>
                <w:sz w:val="20"/>
              </w:rPr>
            </w:r>
          </w:p>
        </w:tc>
      </w:tr>
      <w:tr>
        <w:tc>
          <w:tcPr>
            <w:tcW w:w="6362" w:type="dxa"/>
          </w:tcPr>
          <w:p>
            <w:pPr>
              <w:pStyle w:val="0"/>
            </w:pPr>
            <w:r>
              <w:rPr>
                <w:sz w:val="20"/>
              </w:rPr>
              <w:t xml:space="preserve">на базе среднего общего образования</w:t>
            </w:r>
          </w:p>
        </w:tc>
        <w:tc>
          <w:tcPr>
            <w:tcW w:w="2708" w:type="dxa"/>
          </w:tcPr>
          <w:p>
            <w:pPr>
              <w:pStyle w:val="0"/>
              <w:jc w:val="center"/>
            </w:pPr>
            <w:r>
              <w:rPr>
                <w:sz w:val="20"/>
              </w:rPr>
              <w:t xml:space="preserve">36</w:t>
            </w:r>
          </w:p>
        </w:tc>
      </w:tr>
      <w:tr>
        <w:tc>
          <w:tcPr>
            <w:tcW w:w="6362" w:type="dxa"/>
          </w:tcPr>
          <w:p>
            <w:pPr>
              <w:pStyle w:val="0"/>
            </w:pPr>
            <w:r>
              <w:rPr>
                <w:sz w:val="20"/>
              </w:rPr>
              <w:t xml:space="preserve">на базе основного общего образования</w:t>
            </w:r>
          </w:p>
        </w:tc>
        <w:tc>
          <w:tcPr>
            <w:tcW w:w="2708" w:type="dxa"/>
          </w:tcPr>
          <w:p>
            <w:pPr>
              <w:pStyle w:val="0"/>
              <w:jc w:val="center"/>
            </w:pPr>
            <w:r>
              <w:rPr>
                <w:sz w:val="20"/>
              </w:rPr>
              <w:t xml:space="preserve">72</w:t>
            </w:r>
          </w:p>
        </w:tc>
      </w:tr>
      <w:tr>
        <w:tc>
          <w:tcPr>
            <w:gridSpan w:val="2"/>
            <w:tcW w:w="9070" w:type="dxa"/>
          </w:tcPr>
          <w:p>
            <w:pPr>
              <w:pStyle w:val="0"/>
              <w:outlineLvl w:val="3"/>
              <w:jc w:val="center"/>
            </w:pPr>
            <w:r>
              <w:rPr>
                <w:sz w:val="20"/>
              </w:rPr>
              <w:t xml:space="preserve">Общий объем образовательной программы:</w:t>
            </w:r>
          </w:p>
        </w:tc>
      </w:tr>
      <w:tr>
        <w:tc>
          <w:tcPr>
            <w:tcW w:w="6362" w:type="dxa"/>
          </w:tcPr>
          <w:p>
            <w:pPr>
              <w:pStyle w:val="0"/>
            </w:pPr>
            <w:r>
              <w:rPr>
                <w:sz w:val="20"/>
              </w:rPr>
              <w:t xml:space="preserve">на базе среднего общего образования</w:t>
            </w:r>
          </w:p>
        </w:tc>
        <w:tc>
          <w:tcPr>
            <w:tcW w:w="2708" w:type="dxa"/>
          </w:tcPr>
          <w:p>
            <w:pPr>
              <w:pStyle w:val="0"/>
              <w:jc w:val="center"/>
            </w:pPr>
            <w:r>
              <w:rPr>
                <w:sz w:val="20"/>
              </w:rPr>
              <w:t xml:space="preserve">1476</w:t>
            </w:r>
          </w:p>
        </w:tc>
      </w:tr>
      <w:tr>
        <w:tc>
          <w:tcPr>
            <w:tcW w:w="636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708" w:type="dxa"/>
          </w:tcPr>
          <w:p>
            <w:pPr>
              <w:pStyle w:val="0"/>
              <w:jc w:val="center"/>
            </w:pPr>
            <w:r>
              <w:rPr>
                <w:sz w:val="20"/>
              </w:rPr>
              <w:t xml:space="preserve">4428</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6"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jc w:val="both"/>
      </w:pPr>
      <w:r>
        <w:rPr>
          <w:sz w:val="20"/>
        </w:rPr>
      </w:r>
    </w:p>
    <w:bookmarkStart w:id="121" w:name="P121"/>
    <w:bookmarkEnd w:id="121"/>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исходя из сочетания квалификаций квалифицированного рабочего, служащего, указанных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141" w:name="P141"/>
    <w:bookmarkEnd w:id="141"/>
    <w:p>
      <w:pPr>
        <w:pStyle w:val="2"/>
        <w:jc w:val="center"/>
      </w:pPr>
      <w:r>
        <w:rPr>
          <w:sz w:val="20"/>
        </w:rPr>
        <w:t xml:space="preserve">Соотнесение основных видов деятельности и квалификаций</w:t>
      </w:r>
    </w:p>
    <w:p>
      <w:pPr>
        <w:pStyle w:val="2"/>
        <w:jc w:val="center"/>
      </w:pPr>
      <w:r>
        <w:rPr>
          <w:sz w:val="20"/>
        </w:rPr>
        <w:t xml:space="preserve">квалифицированного рабочего, служащего при формировании</w:t>
      </w:r>
    </w:p>
    <w:p>
      <w:pPr>
        <w:pStyle w:val="2"/>
        <w:jc w:val="center"/>
      </w:pPr>
      <w:r>
        <w:rPr>
          <w:sz w:val="20"/>
        </w:rPr>
        <w:t xml:space="preserve">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55"/>
        <w:gridCol w:w="5216"/>
      </w:tblGrid>
      <w:tr>
        <w:tc>
          <w:tcPr>
            <w:tcW w:w="3855" w:type="dxa"/>
          </w:tcPr>
          <w:p>
            <w:pPr>
              <w:pStyle w:val="0"/>
              <w:jc w:val="center"/>
            </w:pPr>
            <w:r>
              <w:rPr>
                <w:sz w:val="20"/>
              </w:rPr>
              <w:t xml:space="preserve">Основные виды деятельности</w:t>
            </w:r>
          </w:p>
        </w:tc>
        <w:tc>
          <w:tcPr>
            <w:tcW w:w="5216" w:type="dxa"/>
          </w:tcPr>
          <w:p>
            <w:pPr>
              <w:pStyle w:val="0"/>
              <w:jc w:val="center"/>
            </w:pPr>
            <w:r>
              <w:rPr>
                <w:sz w:val="20"/>
              </w:rPr>
              <w:t xml:space="preserve">Наименование квалификаций квалифицированного рабочего, служащего</w:t>
            </w:r>
          </w:p>
        </w:tc>
      </w:tr>
      <w:tr>
        <w:tc>
          <w:tcPr>
            <w:tcW w:w="3855" w:type="dxa"/>
            <w:vMerge w:val="restart"/>
          </w:tcPr>
          <w:p>
            <w:pPr>
              <w:pStyle w:val="0"/>
              <w:jc w:val="both"/>
            </w:pPr>
            <w:r>
              <w:rPr>
                <w:sz w:val="20"/>
              </w:rPr>
              <w:t xml:space="preserve">Выполнение столярных работ</w:t>
            </w:r>
          </w:p>
        </w:tc>
        <w:tc>
          <w:tcPr>
            <w:tcW w:w="5216" w:type="dxa"/>
            <w:tcBorders>
              <w:bottom w:val="nil"/>
            </w:tcBorders>
          </w:tcPr>
          <w:p>
            <w:pPr>
              <w:pStyle w:val="0"/>
              <w:jc w:val="both"/>
            </w:pPr>
            <w:r>
              <w:rPr>
                <w:sz w:val="20"/>
              </w:rPr>
              <w:t xml:space="preserve">столяр строительный, плотник и паркетчик;</w:t>
            </w:r>
          </w:p>
        </w:tc>
      </w:tr>
      <w:tr>
        <w:tc>
          <w:tcPr>
            <w:vMerge w:val="continue"/>
          </w:tcPr>
          <w:p/>
        </w:tc>
        <w:tc>
          <w:tcPr>
            <w:tcW w:w="5216" w:type="dxa"/>
            <w:tcBorders>
              <w:top w:val="nil"/>
            </w:tcBorders>
          </w:tcPr>
          <w:p>
            <w:pPr>
              <w:pStyle w:val="0"/>
              <w:jc w:val="both"/>
            </w:pPr>
            <w:r>
              <w:rPr>
                <w:sz w:val="20"/>
              </w:rPr>
              <w:t xml:space="preserve">столяр строительный, плотник и стекольщик</w:t>
            </w:r>
          </w:p>
        </w:tc>
      </w:tr>
      <w:tr>
        <w:tc>
          <w:tcPr>
            <w:tcW w:w="3855" w:type="dxa"/>
            <w:vMerge w:val="restart"/>
          </w:tcPr>
          <w:p>
            <w:pPr>
              <w:pStyle w:val="0"/>
              <w:jc w:val="both"/>
            </w:pPr>
            <w:r>
              <w:rPr>
                <w:sz w:val="20"/>
              </w:rPr>
              <w:t xml:space="preserve">Выполнение плотничных работ</w:t>
            </w:r>
          </w:p>
        </w:tc>
        <w:tc>
          <w:tcPr>
            <w:tcW w:w="5216" w:type="dxa"/>
            <w:tcBorders>
              <w:bottom w:val="nil"/>
            </w:tcBorders>
          </w:tcPr>
          <w:p>
            <w:pPr>
              <w:pStyle w:val="0"/>
              <w:jc w:val="both"/>
            </w:pPr>
            <w:r>
              <w:rPr>
                <w:sz w:val="20"/>
              </w:rPr>
              <w:t xml:space="preserve">столяр строительный, плотник и паркетчик;</w:t>
            </w:r>
          </w:p>
        </w:tc>
      </w:tr>
      <w:tr>
        <w:tc>
          <w:tcPr>
            <w:vMerge w:val="continue"/>
          </w:tcPr>
          <w:p/>
        </w:tc>
        <w:tc>
          <w:tcPr>
            <w:tcW w:w="5216" w:type="dxa"/>
            <w:tcBorders>
              <w:top w:val="nil"/>
            </w:tcBorders>
          </w:tcPr>
          <w:p>
            <w:pPr>
              <w:pStyle w:val="0"/>
              <w:jc w:val="both"/>
            </w:pPr>
            <w:r>
              <w:rPr>
                <w:sz w:val="20"/>
              </w:rPr>
              <w:t xml:space="preserve">столяр строительный, плотник и стекольщик</w:t>
            </w:r>
          </w:p>
        </w:tc>
      </w:tr>
      <w:tr>
        <w:tc>
          <w:tcPr>
            <w:tcW w:w="3855" w:type="dxa"/>
          </w:tcPr>
          <w:p>
            <w:pPr>
              <w:pStyle w:val="0"/>
              <w:jc w:val="both"/>
            </w:pPr>
            <w:r>
              <w:rPr>
                <w:sz w:val="20"/>
              </w:rPr>
              <w:t xml:space="preserve">Выполнение стекольных работ</w:t>
            </w:r>
          </w:p>
        </w:tc>
        <w:tc>
          <w:tcPr>
            <w:tcW w:w="5216" w:type="dxa"/>
          </w:tcPr>
          <w:p>
            <w:pPr>
              <w:pStyle w:val="0"/>
              <w:jc w:val="both"/>
            </w:pPr>
            <w:r>
              <w:rPr>
                <w:sz w:val="20"/>
              </w:rPr>
              <w:t xml:space="preserve">столяр строительный, плотник и стекольщик</w:t>
            </w:r>
          </w:p>
        </w:tc>
      </w:tr>
      <w:tr>
        <w:tc>
          <w:tcPr>
            <w:tcW w:w="3855" w:type="dxa"/>
          </w:tcPr>
          <w:p>
            <w:pPr>
              <w:pStyle w:val="0"/>
              <w:jc w:val="both"/>
            </w:pPr>
            <w:r>
              <w:rPr>
                <w:sz w:val="20"/>
              </w:rPr>
              <w:t xml:space="preserve">Выполнение работ по устройству паркетных полов</w:t>
            </w:r>
          </w:p>
        </w:tc>
        <w:tc>
          <w:tcPr>
            <w:tcW w:w="5216" w:type="dxa"/>
          </w:tcPr>
          <w:p>
            <w:pPr>
              <w:pStyle w:val="0"/>
              <w:jc w:val="both"/>
            </w:pPr>
            <w:r>
              <w:rPr>
                <w:sz w:val="20"/>
              </w:rPr>
              <w:t xml:space="preserve">столяр строительный, плотник и паркетчик</w:t>
            </w:r>
          </w:p>
        </w:tc>
      </w:tr>
    </w:tbl>
    <w:p>
      <w:pPr>
        <w:pStyle w:val="0"/>
        <w:jc w:val="both"/>
      </w:pPr>
      <w:r>
        <w:rPr>
          <w:sz w:val="20"/>
        </w:rPr>
      </w:r>
    </w:p>
    <w:p>
      <w:pPr>
        <w:pStyle w:val="0"/>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41" w:tooltip="Соотнесение основных видов деятельности и квалификаций">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Выполнение столярных работ:</w:t>
      </w:r>
    </w:p>
    <w:p>
      <w:pPr>
        <w:pStyle w:val="0"/>
        <w:spacing w:before="200" w:line-rule="auto"/>
        <w:ind w:firstLine="540"/>
        <w:jc w:val="both"/>
      </w:pPr>
      <w:r>
        <w:rPr>
          <w:sz w:val="20"/>
        </w:rPr>
        <w:t xml:space="preserve">ПК 1.1. Изготавливать простые столярные тяги и заготовки столярных изделий;</w:t>
      </w:r>
    </w:p>
    <w:p>
      <w:pPr>
        <w:pStyle w:val="0"/>
        <w:spacing w:before="200" w:line-rule="auto"/>
        <w:ind w:firstLine="540"/>
        <w:jc w:val="both"/>
      </w:pPr>
      <w:r>
        <w:rPr>
          <w:sz w:val="20"/>
        </w:rPr>
        <w:t xml:space="preserve">ПК 1.2. Изготавливать и собирать столярные изделия различной сложности;</w:t>
      </w:r>
    </w:p>
    <w:p>
      <w:pPr>
        <w:pStyle w:val="0"/>
        <w:spacing w:before="200" w:line-rule="auto"/>
        <w:ind w:firstLine="540"/>
        <w:jc w:val="both"/>
      </w:pPr>
      <w:r>
        <w:rPr>
          <w:sz w:val="20"/>
        </w:rPr>
        <w:t xml:space="preserve">ПК 1.3. Выполнять столярно-монтажные работы;</w:t>
      </w:r>
    </w:p>
    <w:p>
      <w:pPr>
        <w:pStyle w:val="0"/>
        <w:spacing w:before="200" w:line-rule="auto"/>
        <w:ind w:firstLine="540"/>
        <w:jc w:val="both"/>
      </w:pPr>
      <w:r>
        <w:rPr>
          <w:sz w:val="20"/>
        </w:rPr>
        <w:t xml:space="preserve">ПК 1.4. Производить ремонт столярных изделий.</w:t>
      </w:r>
    </w:p>
    <w:p>
      <w:pPr>
        <w:pStyle w:val="0"/>
        <w:spacing w:before="200" w:line-rule="auto"/>
        <w:ind w:firstLine="540"/>
        <w:jc w:val="both"/>
      </w:pPr>
      <w:r>
        <w:rPr>
          <w:sz w:val="20"/>
        </w:rPr>
        <w:t xml:space="preserve">3.4.2. Выполнение плотничных работ:</w:t>
      </w:r>
    </w:p>
    <w:p>
      <w:pPr>
        <w:pStyle w:val="0"/>
        <w:spacing w:before="200" w:line-rule="auto"/>
        <w:ind w:firstLine="540"/>
        <w:jc w:val="both"/>
      </w:pPr>
      <w:r>
        <w:rPr>
          <w:sz w:val="20"/>
        </w:rPr>
        <w:t xml:space="preserve">ПК 2.1. Выполнять заготовку деревянных элементов различного назначения;</w:t>
      </w:r>
    </w:p>
    <w:p>
      <w:pPr>
        <w:pStyle w:val="0"/>
        <w:spacing w:before="200" w:line-rule="auto"/>
        <w:ind w:firstLine="540"/>
        <w:jc w:val="both"/>
      </w:pPr>
      <w:r>
        <w:rPr>
          <w:sz w:val="20"/>
        </w:rPr>
        <w:t xml:space="preserve">ПК 2.2. Устанавливать несущие конструкции деревянных зданий и сооружений;</w:t>
      </w:r>
    </w:p>
    <w:p>
      <w:pPr>
        <w:pStyle w:val="0"/>
        <w:spacing w:before="200" w:line-rule="auto"/>
        <w:ind w:firstLine="540"/>
        <w:jc w:val="both"/>
      </w:pPr>
      <w:r>
        <w:rPr>
          <w:sz w:val="20"/>
        </w:rPr>
        <w:t xml:space="preserve">ПК 2.3. Выполнять работы по устройству лесов, подмостей, опалубки;</w:t>
      </w:r>
    </w:p>
    <w:p>
      <w:pPr>
        <w:pStyle w:val="0"/>
        <w:spacing w:before="200" w:line-rule="auto"/>
        <w:ind w:firstLine="540"/>
        <w:jc w:val="both"/>
      </w:pPr>
      <w:r>
        <w:rPr>
          <w:sz w:val="20"/>
        </w:rPr>
        <w:t xml:space="preserve">ПК 2.4. Производить ремонт плотничных конструкций.</w:t>
      </w:r>
    </w:p>
    <w:p>
      <w:pPr>
        <w:pStyle w:val="0"/>
        <w:spacing w:before="200" w:line-rule="auto"/>
        <w:ind w:firstLine="540"/>
        <w:jc w:val="both"/>
      </w:pPr>
      <w:r>
        <w:rPr>
          <w:sz w:val="20"/>
        </w:rPr>
        <w:t xml:space="preserve">3.4.3. Выполнение стекольных работ:</w:t>
      </w:r>
    </w:p>
    <w:p>
      <w:pPr>
        <w:pStyle w:val="0"/>
        <w:spacing w:before="200" w:line-rule="auto"/>
        <w:ind w:firstLine="540"/>
        <w:jc w:val="both"/>
      </w:pPr>
      <w:r>
        <w:rPr>
          <w:sz w:val="20"/>
        </w:rPr>
        <w:t xml:space="preserve">ПК 3.1. Организовывать рабочее место в соответствии с требованиями охраны труда и техники безопасности;</w:t>
      </w:r>
    </w:p>
    <w:p>
      <w:pPr>
        <w:pStyle w:val="0"/>
        <w:spacing w:before="200" w:line-rule="auto"/>
        <w:ind w:firstLine="540"/>
        <w:jc w:val="both"/>
      </w:pPr>
      <w:r>
        <w:rPr>
          <w:sz w:val="20"/>
        </w:rPr>
        <w:t xml:space="preserve">ПК 3.2. Выполнять подготовительные работы;</w:t>
      </w:r>
    </w:p>
    <w:p>
      <w:pPr>
        <w:pStyle w:val="0"/>
        <w:spacing w:before="200" w:line-rule="auto"/>
        <w:ind w:firstLine="540"/>
        <w:jc w:val="both"/>
      </w:pPr>
      <w:r>
        <w:rPr>
          <w:sz w:val="20"/>
        </w:rPr>
        <w:t xml:space="preserve">ПК 3.3. Выполнять остекление переплетов всеми видами стекла и стеклопакетами в соответствии с техническим заданием;</w:t>
      </w:r>
    </w:p>
    <w:p>
      <w:pPr>
        <w:pStyle w:val="0"/>
        <w:spacing w:before="200" w:line-rule="auto"/>
        <w:ind w:firstLine="540"/>
        <w:jc w:val="both"/>
      </w:pPr>
      <w:r>
        <w:rPr>
          <w:sz w:val="20"/>
        </w:rPr>
        <w:t xml:space="preserve">ПК 3.4. Устраивать перегородки из стеклоблоков и стеклопрофилита в соответствии с проектным положением.</w:t>
      </w:r>
    </w:p>
    <w:p>
      <w:pPr>
        <w:pStyle w:val="0"/>
        <w:spacing w:before="200" w:line-rule="auto"/>
        <w:ind w:firstLine="540"/>
        <w:jc w:val="both"/>
      </w:pPr>
      <w:r>
        <w:rPr>
          <w:sz w:val="20"/>
        </w:rPr>
        <w:t xml:space="preserve">3.4.4. Выполнение работ по устройству паркетных полов:</w:t>
      </w:r>
    </w:p>
    <w:p>
      <w:pPr>
        <w:pStyle w:val="0"/>
        <w:spacing w:before="200" w:line-rule="auto"/>
        <w:ind w:firstLine="540"/>
        <w:jc w:val="both"/>
      </w:pPr>
      <w:r>
        <w:rPr>
          <w:sz w:val="20"/>
        </w:rPr>
        <w:t xml:space="preserve">ПК 4.1. Организовывать рабочее место в соответствии с требованиями охраны труда и техники безопасности;</w:t>
      </w:r>
    </w:p>
    <w:p>
      <w:pPr>
        <w:pStyle w:val="0"/>
        <w:spacing w:before="200" w:line-rule="auto"/>
        <w:ind w:firstLine="540"/>
        <w:jc w:val="both"/>
      </w:pPr>
      <w:r>
        <w:rPr>
          <w:sz w:val="20"/>
        </w:rPr>
        <w:t xml:space="preserve">ПК 4.2. Выполнять подготовительные работы;</w:t>
      </w:r>
    </w:p>
    <w:p>
      <w:pPr>
        <w:pStyle w:val="0"/>
        <w:spacing w:before="200" w:line-rule="auto"/>
        <w:ind w:firstLine="540"/>
        <w:jc w:val="both"/>
      </w:pPr>
      <w:r>
        <w:rPr>
          <w:sz w:val="20"/>
        </w:rPr>
        <w:t xml:space="preserve">ПК 4.3. Устраивать полы из досок и индустриальных материалов на основе древесины в соответствии с технической документацией;</w:t>
      </w:r>
    </w:p>
    <w:p>
      <w:pPr>
        <w:pStyle w:val="0"/>
        <w:spacing w:before="200" w:line-rule="auto"/>
        <w:ind w:firstLine="540"/>
        <w:jc w:val="both"/>
      </w:pPr>
      <w:r>
        <w:rPr>
          <w:sz w:val="20"/>
        </w:rPr>
        <w:t xml:space="preserve">ПК 4.4. Устраивать паркетные полы из щитового и штучного паркета в соответствии с технической документацией.</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58"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выбранным сочетанием квалификаций квалифицированного рабочего, служащего, указанным в </w:t>
      </w:r>
      <w:hyperlink w:history="0" w:anchor="P69"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
        <w:r>
          <w:rPr>
            <w:sz w:val="20"/>
            <w:color w:val="0000ff"/>
          </w:rPr>
          <w:t xml:space="preserve">пункте 1.12</w:t>
        </w:r>
      </w:hyperlink>
      <w:r>
        <w:rPr>
          <w:sz w:val="20"/>
        </w:rPr>
        <w:t xml:space="preserve"> настоящего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9"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08.01.05</w:t>
      </w:r>
    </w:p>
    <w:p>
      <w:pPr>
        <w:pStyle w:val="0"/>
        <w:jc w:val="right"/>
      </w:pPr>
      <w:r>
        <w:rPr>
          <w:sz w:val="20"/>
        </w:rPr>
        <w:t xml:space="preserve">Мастер столярно-плотничных</w:t>
      </w:r>
    </w:p>
    <w:p>
      <w:pPr>
        <w:pStyle w:val="0"/>
        <w:jc w:val="right"/>
      </w:pPr>
      <w:r>
        <w:rPr>
          <w:sz w:val="20"/>
        </w:rPr>
        <w:t xml:space="preserve">и паркетных работ</w:t>
      </w:r>
    </w:p>
    <w:p>
      <w:pPr>
        <w:pStyle w:val="0"/>
        <w:jc w:val="both"/>
      </w:pPr>
      <w:r>
        <w:rPr>
          <w:sz w:val="20"/>
        </w:rPr>
      </w:r>
    </w:p>
    <w:bookmarkStart w:id="230" w:name="P230"/>
    <w:bookmarkEnd w:id="230"/>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08.01.05 МАСТЕР СТОЛЯРНО-ПЛОТНИЧНЫХ</w:t>
      </w:r>
    </w:p>
    <w:p>
      <w:pPr>
        <w:pStyle w:val="2"/>
        <w:jc w:val="center"/>
      </w:pPr>
      <w:r>
        <w:rPr>
          <w:sz w:val="20"/>
        </w:rPr>
        <w:t xml:space="preserve">И ПАРКЕТНЫХ РАБОТ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7200"/>
      </w:tblGrid>
      <w:tr>
        <w:tc>
          <w:tcPr>
            <w:tcW w:w="1871" w:type="dxa"/>
          </w:tcPr>
          <w:p>
            <w:pPr>
              <w:pStyle w:val="0"/>
              <w:jc w:val="center"/>
            </w:pPr>
            <w:r>
              <w:rPr>
                <w:sz w:val="20"/>
              </w:rPr>
              <w:t xml:space="preserve">Код профессионального стандарта</w:t>
            </w:r>
          </w:p>
        </w:tc>
        <w:tc>
          <w:tcPr>
            <w:tcW w:w="7200" w:type="dxa"/>
          </w:tcPr>
          <w:p>
            <w:pPr>
              <w:pStyle w:val="0"/>
              <w:jc w:val="center"/>
            </w:pPr>
            <w:r>
              <w:rPr>
                <w:sz w:val="20"/>
              </w:rPr>
              <w:t xml:space="preserve">Наименование профессионального стандарта</w:t>
            </w:r>
          </w:p>
        </w:tc>
      </w:tr>
      <w:tr>
        <w:tc>
          <w:tcPr>
            <w:tcW w:w="1871" w:type="dxa"/>
          </w:tcPr>
          <w:p>
            <w:pPr>
              <w:pStyle w:val="0"/>
              <w:jc w:val="center"/>
            </w:pPr>
            <w:r>
              <w:rPr>
                <w:sz w:val="20"/>
              </w:rPr>
              <w:t xml:space="preserve">1</w:t>
            </w:r>
          </w:p>
        </w:tc>
        <w:tc>
          <w:tcPr>
            <w:tcW w:w="7200" w:type="dxa"/>
          </w:tcPr>
          <w:p>
            <w:pPr>
              <w:pStyle w:val="0"/>
              <w:jc w:val="center"/>
            </w:pPr>
            <w:r>
              <w:rPr>
                <w:sz w:val="20"/>
              </w:rPr>
              <w:t xml:space="preserve">2</w:t>
            </w:r>
          </w:p>
        </w:tc>
      </w:tr>
      <w:tr>
        <w:tc>
          <w:tcPr>
            <w:tcW w:w="1871" w:type="dxa"/>
          </w:tcPr>
          <w:p>
            <w:pPr>
              <w:pStyle w:val="0"/>
              <w:jc w:val="center"/>
            </w:pPr>
            <w:r>
              <w:rPr>
                <w:sz w:val="20"/>
              </w:rPr>
              <w:t xml:space="preserve">16.035</w:t>
            </w:r>
          </w:p>
        </w:tc>
        <w:tc>
          <w:tcPr>
            <w:tcW w:w="7200" w:type="dxa"/>
          </w:tcPr>
          <w:p>
            <w:pPr>
              <w:pStyle w:val="0"/>
              <w:jc w:val="both"/>
            </w:pPr>
            <w:r>
              <w:rPr>
                <w:sz w:val="20"/>
              </w:rPr>
              <w:t xml:space="preserve">Профессиональный </w:t>
            </w:r>
            <w:hyperlink w:history="0" r:id="rId15" w:tooltip="Приказ Минтруда России от 22.12.2014 N 1092н (ред. от 28.10.2015) &quot;Об утверждении профессионального стандарта &quot;Паркетчик&quot; (Зарегистрировано в Минюсте России 23.01.2015 N 35666) {КонсультантПлюс}">
              <w:r>
                <w:rPr>
                  <w:sz w:val="20"/>
                  <w:color w:val="0000ff"/>
                </w:rPr>
                <w:t xml:space="preserve">стандарт</w:t>
              </w:r>
            </w:hyperlink>
            <w:r>
              <w:rPr>
                <w:sz w:val="20"/>
              </w:rPr>
              <w:t xml:space="preserve"> "Паркетчик", утвержден приказом Министерства труда и социальной защиты Российской Федерации от 22 декабря 2014 г. N 1092н (зарегистрирован Министерством юстиции Российской Федерации 23 января 2015 г., регистрационный N 35666) с изменениями, внесенными приказом Министерства труда и социальной защиты Российской Федерации от 28 октября 2015 г. N 793н (зарегистрирован Министерством юстиции Российской Федерации 3 декабря 2015 г., регистрационный N 39947)</w:t>
            </w:r>
          </w:p>
        </w:tc>
      </w:tr>
      <w:tr>
        <w:tc>
          <w:tcPr>
            <w:tcW w:w="1871" w:type="dxa"/>
          </w:tcPr>
          <w:p>
            <w:pPr>
              <w:pStyle w:val="0"/>
              <w:jc w:val="center"/>
            </w:pPr>
            <w:r>
              <w:rPr>
                <w:sz w:val="20"/>
              </w:rPr>
              <w:t xml:space="preserve">16.039</w:t>
            </w:r>
          </w:p>
        </w:tc>
        <w:tc>
          <w:tcPr>
            <w:tcW w:w="7200" w:type="dxa"/>
          </w:tcPr>
          <w:p>
            <w:pPr>
              <w:pStyle w:val="0"/>
              <w:jc w:val="both"/>
            </w:pPr>
            <w:r>
              <w:rPr>
                <w:sz w:val="20"/>
              </w:rPr>
              <w:t xml:space="preserve">Профессиональный </w:t>
            </w:r>
            <w:hyperlink w:history="0" r:id="rId16" w:tooltip="Приказ Минтруда России от 22.12.2014 N 1062н (ред. от 28.10.2015) &quot;Об утверждении профессионального стандарта &quot;Стекольщик&quot; (Зарегистрировано в Минюсте России 26.01.2015 N 35716) {КонсультантПлюс}">
              <w:r>
                <w:rPr>
                  <w:sz w:val="20"/>
                  <w:color w:val="0000ff"/>
                </w:rPr>
                <w:t xml:space="preserve">стандарт</w:t>
              </w:r>
            </w:hyperlink>
            <w:r>
              <w:rPr>
                <w:sz w:val="20"/>
              </w:rPr>
              <w:t xml:space="preserve"> "Стекольщик", утвержден приказом Министерства труда и социальной защиты Российской Федерации от 22 декабря 2014 г. N 1062н (зарегистрирован Министерством юстиции Российской Федерации 26 января 2015 г., регистрационный N 35716) с изменениями, внесенными приказом Министерства труда и социальной защиты Российской Федерации от 28 октября 2015 г. N 793н (зарегистрирован Министерством юстиции Российской Федерации 3 декабря 2015 г., регистрационный N 39947)</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08.01.05</w:t>
      </w:r>
    </w:p>
    <w:p>
      <w:pPr>
        <w:pStyle w:val="0"/>
        <w:jc w:val="right"/>
      </w:pPr>
      <w:r>
        <w:rPr>
          <w:sz w:val="20"/>
        </w:rPr>
        <w:t xml:space="preserve">Мастер столярно-плотничных</w:t>
      </w:r>
    </w:p>
    <w:p>
      <w:pPr>
        <w:pStyle w:val="0"/>
        <w:jc w:val="right"/>
      </w:pPr>
      <w:r>
        <w:rPr>
          <w:sz w:val="20"/>
        </w:rPr>
        <w:t xml:space="preserve">и паркетных работ</w:t>
      </w:r>
    </w:p>
    <w:p>
      <w:pPr>
        <w:pStyle w:val="0"/>
        <w:jc w:val="both"/>
      </w:pPr>
      <w:r>
        <w:rPr>
          <w:sz w:val="20"/>
        </w:rPr>
      </w:r>
    </w:p>
    <w:bookmarkStart w:id="258" w:name="P258"/>
    <w:bookmarkEnd w:id="258"/>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08.01.05 МАСТЕР</w:t>
      </w:r>
    </w:p>
    <w:p>
      <w:pPr>
        <w:pStyle w:val="2"/>
        <w:jc w:val="center"/>
      </w:pPr>
      <w:r>
        <w:rPr>
          <w:sz w:val="20"/>
        </w:rPr>
        <w:t xml:space="preserve">СТОЛЯРНО-ПЛОТНИЧНЫХ И ПАРКЕТНЫХ РАБОТ</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041"/>
        <w:gridCol w:w="7030"/>
      </w:tblGrid>
      <w:tr>
        <w:tblPrEx>
          <w:tblBorders>
            <w:insideH w:val="single" w:sz="4"/>
          </w:tblBorders>
        </w:tblPrEx>
        <w:tc>
          <w:tcPr>
            <w:tcW w:w="2041" w:type="dxa"/>
            <w:tcBorders>
              <w:top w:val="single" w:sz="4"/>
              <w:bottom w:val="single" w:sz="4"/>
            </w:tcBorders>
          </w:tcPr>
          <w:p>
            <w:pPr>
              <w:pStyle w:val="0"/>
              <w:jc w:val="center"/>
            </w:pPr>
            <w:r>
              <w:rPr>
                <w:sz w:val="20"/>
              </w:rPr>
              <w:t xml:space="preserve">Основной вид деятельности</w:t>
            </w:r>
          </w:p>
        </w:tc>
        <w:tc>
          <w:tcPr>
            <w:tcW w:w="7030"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blPrEx>
          <w:tblBorders>
            <w:insideH w:val="single" w:sz="4"/>
          </w:tblBorders>
        </w:tblPrEx>
        <w:tc>
          <w:tcPr>
            <w:tcW w:w="2041" w:type="dxa"/>
            <w:tcBorders>
              <w:top w:val="single" w:sz="4"/>
              <w:bottom w:val="nil"/>
            </w:tcBorders>
            <w:vMerge w:val="restart"/>
          </w:tcPr>
          <w:p>
            <w:pPr>
              <w:pStyle w:val="0"/>
            </w:pPr>
            <w:r>
              <w:rPr>
                <w:sz w:val="20"/>
              </w:rPr>
              <w:t xml:space="preserve">Выполнение столярных работ</w:t>
            </w:r>
          </w:p>
        </w:tc>
        <w:tc>
          <w:tcPr>
            <w:tcW w:w="7030" w:type="dxa"/>
            <w:tcBorders>
              <w:top w:val="single" w:sz="4"/>
              <w:bottom w:val="nil"/>
            </w:tcBorders>
          </w:tcPr>
          <w:p>
            <w:pPr>
              <w:pStyle w:val="0"/>
            </w:pPr>
            <w:r>
              <w:rPr>
                <w:sz w:val="20"/>
              </w:rPr>
              <w:t xml:space="preserve">знать:</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виды и свойства древесины, устройство инструментов, электрических машин и станков для обработки древесины;</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виды и способы изготовления столярных изделий и деталей;</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виды и способы выполнения столярно-монтажных и ремонтных столярных работ;</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виды технической документации на производство работ;</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мероприятия по охране труда и правила техники безопасности при изготовлении столярных изделий и выполнении столярно-монтажных работ.</w:t>
            </w:r>
          </w:p>
        </w:tc>
      </w:tr>
      <w:tr>
        <w:tc>
          <w:tcPr>
            <w:tcBorders>
              <w:top w:val="single" w:sz="4"/>
              <w:bottom w:val="nil"/>
            </w:tcBorders>
            <w:vMerge w:val="continue"/>
          </w:tcPr>
          <w:p/>
        </w:tc>
        <w:tc>
          <w:tcPr>
            <w:tcW w:w="7030" w:type="dxa"/>
            <w:tcBorders>
              <w:top w:val="nil"/>
              <w:bottom w:val="nil"/>
            </w:tcBorders>
          </w:tcPr>
          <w:p>
            <w:pPr>
              <w:pStyle w:val="0"/>
            </w:pPr>
            <w:r>
              <w:rPr>
                <w:sz w:val="20"/>
              </w:rPr>
              <w:t xml:space="preserve">уметь:</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отбирать пиломатериалы, выполнять их разметку и обработку, пользоваться ручным и электрифицированным инструментом;</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изготавливать и устанавливать простые и средней сложности столярные детали и изделия;</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устанавливать крепежную фурнитуру;</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выполнять обшивку стен и потолков по каркасу отделочными индустриальными материалами;</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собирать и устанавливать встроенную мебель;</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выполнять ремонтные столярные работы;</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выполнять требования охраны труда и техники безопасности.</w:t>
            </w:r>
          </w:p>
        </w:tc>
      </w:tr>
      <w:tr>
        <w:tc>
          <w:tcPr>
            <w:tcBorders>
              <w:top w:val="single" w:sz="4"/>
              <w:bottom w:val="nil"/>
            </w:tcBorders>
            <w:vMerge w:val="continue"/>
          </w:tcPr>
          <w:p/>
        </w:tc>
        <w:tc>
          <w:tcPr>
            <w:tcW w:w="7030" w:type="dxa"/>
            <w:tcBorders>
              <w:top w:val="nil"/>
              <w:bottom w:val="nil"/>
            </w:tcBorders>
          </w:tcPr>
          <w:p>
            <w:pPr>
              <w:pStyle w:val="0"/>
            </w:pPr>
            <w:r>
              <w:rPr>
                <w:sz w:val="20"/>
              </w:rPr>
              <w:t xml:space="preserve">иметь практический опыт в:</w:t>
            </w:r>
          </w:p>
        </w:tc>
      </w:tr>
      <w:tr>
        <w:tc>
          <w:tcPr>
            <w:tcW w:w="2041" w:type="dxa"/>
            <w:tcBorders>
              <w:top w:val="nil"/>
              <w:bottom w:val="nil"/>
            </w:tcBorders>
          </w:tcPr>
          <w:p>
            <w:pPr>
              <w:pStyle w:val="0"/>
            </w:pPr>
            <w:r>
              <w:rPr>
                <w:sz w:val="20"/>
              </w:rPr>
            </w:r>
          </w:p>
        </w:tc>
        <w:tc>
          <w:tcPr>
            <w:tcW w:w="7030" w:type="dxa"/>
            <w:tcBorders>
              <w:top w:val="nil"/>
              <w:bottom w:val="nil"/>
            </w:tcBorders>
          </w:tcPr>
          <w:p>
            <w:pPr>
              <w:pStyle w:val="0"/>
              <w:ind w:firstLine="283"/>
              <w:jc w:val="both"/>
            </w:pPr>
            <w:r>
              <w:rPr>
                <w:sz w:val="20"/>
              </w:rPr>
              <w:t xml:space="preserve">изготовлении простых столярных тяг и заготовок столярных изделий;</w:t>
            </w:r>
          </w:p>
        </w:tc>
      </w:tr>
      <w:tr>
        <w:tc>
          <w:tcPr>
            <w:tcW w:w="2041" w:type="dxa"/>
            <w:tcBorders>
              <w:top w:val="nil"/>
              <w:bottom w:val="nil"/>
            </w:tcBorders>
          </w:tcPr>
          <w:p>
            <w:pPr>
              <w:pStyle w:val="0"/>
            </w:pPr>
            <w:r>
              <w:rPr>
                <w:sz w:val="20"/>
              </w:rPr>
            </w:r>
          </w:p>
        </w:tc>
        <w:tc>
          <w:tcPr>
            <w:tcW w:w="7030" w:type="dxa"/>
            <w:tcBorders>
              <w:top w:val="nil"/>
              <w:bottom w:val="nil"/>
            </w:tcBorders>
          </w:tcPr>
          <w:p>
            <w:pPr>
              <w:pStyle w:val="0"/>
              <w:ind w:firstLine="283"/>
              <w:jc w:val="both"/>
            </w:pPr>
            <w:r>
              <w:rPr>
                <w:sz w:val="20"/>
              </w:rPr>
              <w:t xml:space="preserve">изготовлении и сборке простых и средней сложности столярных изделий;</w:t>
            </w:r>
          </w:p>
        </w:tc>
      </w:tr>
      <w:tr>
        <w:tc>
          <w:tcPr>
            <w:tcW w:w="2041" w:type="dxa"/>
            <w:tcBorders>
              <w:top w:val="nil"/>
              <w:bottom w:val="single" w:sz="4"/>
            </w:tcBorders>
          </w:tcPr>
          <w:p>
            <w:pPr>
              <w:pStyle w:val="0"/>
            </w:pPr>
            <w:r>
              <w:rPr>
                <w:sz w:val="20"/>
              </w:rPr>
            </w:r>
          </w:p>
        </w:tc>
        <w:tc>
          <w:tcPr>
            <w:tcW w:w="7030" w:type="dxa"/>
            <w:tcBorders>
              <w:top w:val="nil"/>
              <w:bottom w:val="single" w:sz="4"/>
            </w:tcBorders>
          </w:tcPr>
          <w:p>
            <w:pPr>
              <w:pStyle w:val="0"/>
              <w:ind w:firstLine="283"/>
              <w:jc w:val="both"/>
            </w:pPr>
            <w:r>
              <w:rPr>
                <w:sz w:val="20"/>
              </w:rPr>
              <w:t xml:space="preserve">выполнении столярно-монтажных и ремонтных столярных работ.</w:t>
            </w:r>
          </w:p>
        </w:tc>
      </w:tr>
      <w:tr>
        <w:tblPrEx>
          <w:tblBorders>
            <w:insideH w:val="single" w:sz="4"/>
          </w:tblBorders>
        </w:tblPrEx>
        <w:tc>
          <w:tcPr>
            <w:tcW w:w="2041" w:type="dxa"/>
            <w:tcBorders>
              <w:top w:val="single" w:sz="4"/>
              <w:bottom w:val="single" w:sz="4"/>
            </w:tcBorders>
            <w:vMerge w:val="restart"/>
          </w:tcPr>
          <w:p>
            <w:pPr>
              <w:pStyle w:val="0"/>
            </w:pPr>
            <w:r>
              <w:rPr>
                <w:sz w:val="20"/>
              </w:rPr>
              <w:t xml:space="preserve">Выполнение плотничных работ</w:t>
            </w:r>
          </w:p>
        </w:tc>
        <w:tc>
          <w:tcPr>
            <w:tcW w:w="7030" w:type="dxa"/>
            <w:tcBorders>
              <w:top w:val="single" w:sz="4"/>
              <w:bottom w:val="nil"/>
            </w:tcBorders>
          </w:tcPr>
          <w:p>
            <w:pPr>
              <w:pStyle w:val="0"/>
            </w:pPr>
            <w:r>
              <w:rPr>
                <w:sz w:val="20"/>
              </w:rPr>
              <w:t xml:space="preserve">знать:</w:t>
            </w:r>
          </w:p>
        </w:tc>
      </w:tr>
      <w:tr>
        <w:tc>
          <w:tcPr>
            <w:tcBorders>
              <w:top w:val="single" w:sz="4"/>
              <w:bottom w:val="single" w:sz="4"/>
            </w:tcBorders>
            <w:vMerge w:val="continue"/>
          </w:tcPr>
          <w:p/>
        </w:tc>
        <w:tc>
          <w:tcPr>
            <w:tcW w:w="7030" w:type="dxa"/>
            <w:tcBorders>
              <w:top w:val="nil"/>
              <w:bottom w:val="nil"/>
            </w:tcBorders>
          </w:tcPr>
          <w:p>
            <w:pPr>
              <w:pStyle w:val="0"/>
              <w:ind w:firstLine="283"/>
              <w:jc w:val="both"/>
            </w:pPr>
            <w:r>
              <w:rPr>
                <w:sz w:val="20"/>
              </w:rPr>
              <w:t xml:space="preserve">виды материалов для строительства деревянных зданий и сооружений;</w:t>
            </w:r>
          </w:p>
        </w:tc>
      </w:tr>
      <w:tr>
        <w:tc>
          <w:tcPr>
            <w:tcBorders>
              <w:top w:val="single" w:sz="4"/>
              <w:bottom w:val="single" w:sz="4"/>
            </w:tcBorders>
            <w:vMerge w:val="continue"/>
          </w:tcPr>
          <w:p/>
        </w:tc>
        <w:tc>
          <w:tcPr>
            <w:tcW w:w="7030" w:type="dxa"/>
            <w:tcBorders>
              <w:top w:val="nil"/>
              <w:bottom w:val="nil"/>
            </w:tcBorders>
          </w:tcPr>
          <w:p>
            <w:pPr>
              <w:pStyle w:val="0"/>
              <w:ind w:firstLine="283"/>
              <w:jc w:val="both"/>
            </w:pPr>
            <w:r>
              <w:rPr>
                <w:sz w:val="20"/>
              </w:rPr>
              <w:t xml:space="preserve">виды и устройство деревообрабатывающего оборудования;</w:t>
            </w:r>
          </w:p>
        </w:tc>
      </w:tr>
      <w:tr>
        <w:tc>
          <w:tcPr>
            <w:tcBorders>
              <w:top w:val="single" w:sz="4"/>
              <w:bottom w:val="single" w:sz="4"/>
            </w:tcBorders>
            <w:vMerge w:val="continue"/>
          </w:tcPr>
          <w:p/>
        </w:tc>
        <w:tc>
          <w:tcPr>
            <w:tcW w:w="7030" w:type="dxa"/>
            <w:tcBorders>
              <w:top w:val="nil"/>
              <w:bottom w:val="nil"/>
            </w:tcBorders>
          </w:tcPr>
          <w:p>
            <w:pPr>
              <w:pStyle w:val="0"/>
              <w:ind w:firstLine="283"/>
              <w:jc w:val="both"/>
            </w:pPr>
            <w:r>
              <w:rPr>
                <w:sz w:val="20"/>
              </w:rPr>
              <w:t xml:space="preserve">способы заготовки деревянных элементов и сборки их в конструкции, правила ведения монтажных работ, виды и способы ремонта деревянных конструкций;</w:t>
            </w:r>
          </w:p>
        </w:tc>
      </w:tr>
      <w:tr>
        <w:tc>
          <w:tcPr>
            <w:tcBorders>
              <w:top w:val="single" w:sz="4"/>
              <w:bottom w:val="single" w:sz="4"/>
            </w:tcBorders>
            <w:vMerge w:val="continue"/>
          </w:tcPr>
          <w:p/>
        </w:tc>
        <w:tc>
          <w:tcPr>
            <w:tcW w:w="7030" w:type="dxa"/>
            <w:tcBorders>
              <w:top w:val="nil"/>
              <w:bottom w:val="nil"/>
            </w:tcBorders>
          </w:tcPr>
          <w:p>
            <w:pPr>
              <w:pStyle w:val="0"/>
              <w:ind w:firstLine="283"/>
              <w:jc w:val="both"/>
            </w:pPr>
            <w:r>
              <w:rPr>
                <w:sz w:val="20"/>
              </w:rPr>
              <w:t xml:space="preserve">виды технической документации на выполнение работ;</w:t>
            </w:r>
          </w:p>
        </w:tc>
      </w:tr>
      <w:tr>
        <w:tc>
          <w:tcPr>
            <w:tcBorders>
              <w:top w:val="single" w:sz="4"/>
              <w:bottom w:val="single" w:sz="4"/>
            </w:tcBorders>
            <w:vMerge w:val="continue"/>
          </w:tcPr>
          <w:p/>
        </w:tc>
        <w:tc>
          <w:tcPr>
            <w:tcW w:w="7030" w:type="dxa"/>
            <w:tcBorders>
              <w:top w:val="nil"/>
              <w:bottom w:val="nil"/>
            </w:tcBorders>
          </w:tcPr>
          <w:p>
            <w:pPr>
              <w:pStyle w:val="0"/>
              <w:ind w:firstLine="283"/>
              <w:jc w:val="both"/>
            </w:pPr>
            <w:r>
              <w:rPr>
                <w:sz w:val="20"/>
              </w:rPr>
              <w:t xml:space="preserve">мероприятия по охране труда и правила техники безопасности при устройстве и сборке деревянных изделий и их элементов.</w:t>
            </w:r>
          </w:p>
        </w:tc>
      </w:tr>
      <w:tr>
        <w:tc>
          <w:tcPr>
            <w:tcBorders>
              <w:top w:val="single" w:sz="4"/>
              <w:bottom w:val="single" w:sz="4"/>
            </w:tcBorders>
            <w:vMerge w:val="continue"/>
          </w:tcPr>
          <w:p/>
        </w:tc>
        <w:tc>
          <w:tcPr>
            <w:tcW w:w="7030" w:type="dxa"/>
            <w:tcBorders>
              <w:top w:val="nil"/>
              <w:bottom w:val="nil"/>
            </w:tcBorders>
          </w:tcPr>
          <w:p>
            <w:pPr>
              <w:pStyle w:val="0"/>
            </w:pPr>
            <w:r>
              <w:rPr>
                <w:sz w:val="20"/>
              </w:rPr>
              <w:t xml:space="preserve">уметь:</w:t>
            </w:r>
          </w:p>
        </w:tc>
      </w:tr>
      <w:tr>
        <w:tc>
          <w:tcPr>
            <w:tcBorders>
              <w:top w:val="single" w:sz="4"/>
              <w:bottom w:val="single" w:sz="4"/>
            </w:tcBorders>
            <w:vMerge w:val="continue"/>
          </w:tcPr>
          <w:p/>
        </w:tc>
        <w:tc>
          <w:tcPr>
            <w:tcW w:w="7030" w:type="dxa"/>
            <w:tcBorders>
              <w:top w:val="nil"/>
              <w:bottom w:val="nil"/>
            </w:tcBorders>
          </w:tcPr>
          <w:p>
            <w:pPr>
              <w:pStyle w:val="0"/>
              <w:ind w:firstLine="283"/>
              <w:jc w:val="both"/>
            </w:pPr>
            <w:r>
              <w:rPr>
                <w:sz w:val="20"/>
              </w:rPr>
              <w:t xml:space="preserve">обрабатывать лесоматериалы ручными инструментами и электрифицированными машинами;</w:t>
            </w:r>
          </w:p>
        </w:tc>
      </w:tr>
      <w:tr>
        <w:tc>
          <w:tcPr>
            <w:tcBorders>
              <w:top w:val="single" w:sz="4"/>
              <w:bottom w:val="single" w:sz="4"/>
            </w:tcBorders>
            <w:vMerge w:val="continue"/>
          </w:tcPr>
          <w:p/>
        </w:tc>
        <w:tc>
          <w:tcPr>
            <w:tcW w:w="7030" w:type="dxa"/>
            <w:tcBorders>
              <w:top w:val="nil"/>
              <w:bottom w:val="nil"/>
            </w:tcBorders>
          </w:tcPr>
          <w:p>
            <w:pPr>
              <w:pStyle w:val="0"/>
              <w:ind w:firstLine="283"/>
              <w:jc w:val="both"/>
            </w:pPr>
            <w:r>
              <w:rPr>
                <w:sz w:val="20"/>
              </w:rPr>
              <w:t xml:space="preserve">производить работы по устройству временных сооружений и сборке деревянных домов;</w:t>
            </w:r>
          </w:p>
        </w:tc>
      </w:tr>
      <w:tr>
        <w:tc>
          <w:tcPr>
            <w:tcBorders>
              <w:top w:val="single" w:sz="4"/>
              <w:bottom w:val="single" w:sz="4"/>
            </w:tcBorders>
            <w:vMerge w:val="continue"/>
          </w:tcPr>
          <w:p/>
        </w:tc>
        <w:tc>
          <w:tcPr>
            <w:tcW w:w="7030" w:type="dxa"/>
            <w:tcBorders>
              <w:top w:val="nil"/>
              <w:bottom w:val="nil"/>
            </w:tcBorders>
          </w:tcPr>
          <w:p>
            <w:pPr>
              <w:pStyle w:val="0"/>
              <w:ind w:firstLine="283"/>
              <w:jc w:val="both"/>
            </w:pPr>
            <w:r>
              <w:rPr>
                <w:sz w:val="20"/>
              </w:rPr>
              <w:t xml:space="preserve">выполнять опалубочные работы, собирать и разбирать леса и подмости;</w:t>
            </w:r>
          </w:p>
        </w:tc>
      </w:tr>
      <w:tr>
        <w:tc>
          <w:tcPr>
            <w:tcBorders>
              <w:top w:val="single" w:sz="4"/>
              <w:bottom w:val="single" w:sz="4"/>
            </w:tcBorders>
            <w:vMerge w:val="continue"/>
          </w:tcPr>
          <w:p/>
        </w:tc>
        <w:tc>
          <w:tcPr>
            <w:tcW w:w="7030" w:type="dxa"/>
            <w:tcBorders>
              <w:top w:val="nil"/>
              <w:bottom w:val="nil"/>
            </w:tcBorders>
          </w:tcPr>
          <w:p>
            <w:pPr>
              <w:pStyle w:val="0"/>
              <w:ind w:firstLine="283"/>
              <w:jc w:val="both"/>
            </w:pPr>
            <w:r>
              <w:rPr>
                <w:sz w:val="20"/>
              </w:rPr>
              <w:t xml:space="preserve">выполнять ремонт деревянных конструкций;</w:t>
            </w:r>
          </w:p>
        </w:tc>
      </w:tr>
      <w:tr>
        <w:tc>
          <w:tcPr>
            <w:tcBorders>
              <w:top w:val="single" w:sz="4"/>
              <w:bottom w:val="single" w:sz="4"/>
            </w:tcBorders>
            <w:vMerge w:val="continue"/>
          </w:tcPr>
          <w:p/>
        </w:tc>
        <w:tc>
          <w:tcPr>
            <w:tcW w:w="7030" w:type="dxa"/>
            <w:tcBorders>
              <w:top w:val="nil"/>
              <w:bottom w:val="nil"/>
            </w:tcBorders>
          </w:tcPr>
          <w:p>
            <w:pPr>
              <w:pStyle w:val="0"/>
              <w:ind w:firstLine="283"/>
              <w:jc w:val="both"/>
            </w:pPr>
            <w:r>
              <w:rPr>
                <w:sz w:val="20"/>
              </w:rPr>
              <w:t xml:space="preserve">выполнять требования охраны труда и техники безопасности.</w:t>
            </w:r>
          </w:p>
        </w:tc>
      </w:tr>
      <w:tr>
        <w:tc>
          <w:tcPr>
            <w:tcBorders>
              <w:top w:val="single" w:sz="4"/>
              <w:bottom w:val="single" w:sz="4"/>
            </w:tcBorders>
            <w:vMerge w:val="continue"/>
          </w:tcPr>
          <w:p/>
        </w:tc>
        <w:tc>
          <w:tcPr>
            <w:tcW w:w="7030" w:type="dxa"/>
            <w:tcBorders>
              <w:top w:val="nil"/>
              <w:bottom w:val="nil"/>
            </w:tcBorders>
          </w:tcPr>
          <w:p>
            <w:pPr>
              <w:pStyle w:val="0"/>
            </w:pPr>
            <w:r>
              <w:rPr>
                <w:sz w:val="20"/>
              </w:rPr>
              <w:t xml:space="preserve">иметь практический опыт в:</w:t>
            </w:r>
          </w:p>
        </w:tc>
      </w:tr>
      <w:tr>
        <w:tc>
          <w:tcPr>
            <w:tcBorders>
              <w:top w:val="single" w:sz="4"/>
              <w:bottom w:val="single" w:sz="4"/>
            </w:tcBorders>
            <w:vMerge w:val="continue"/>
          </w:tcPr>
          <w:p/>
        </w:tc>
        <w:tc>
          <w:tcPr>
            <w:tcW w:w="7030" w:type="dxa"/>
            <w:tcBorders>
              <w:top w:val="nil"/>
              <w:bottom w:val="nil"/>
            </w:tcBorders>
          </w:tcPr>
          <w:p>
            <w:pPr>
              <w:pStyle w:val="0"/>
              <w:ind w:firstLine="283"/>
              <w:jc w:val="both"/>
            </w:pPr>
            <w:r>
              <w:rPr>
                <w:sz w:val="20"/>
              </w:rPr>
              <w:t xml:space="preserve">изготовлении элементов для различных деревянных конструкций, сборке-разборке лесов, подмостей, опалубки;</w:t>
            </w:r>
          </w:p>
        </w:tc>
      </w:tr>
      <w:tr>
        <w:tblPrEx>
          <w:tblBorders>
            <w:insideH w:val="single" w:sz="4"/>
          </w:tblBorders>
        </w:tblPrEx>
        <w:tc>
          <w:tcPr>
            <w:tcBorders>
              <w:top w:val="single" w:sz="4"/>
              <w:bottom w:val="single" w:sz="4"/>
            </w:tcBorders>
            <w:vMerge w:val="continue"/>
          </w:tcPr>
          <w:p/>
        </w:tc>
        <w:tc>
          <w:tcPr>
            <w:tcW w:w="7030" w:type="dxa"/>
            <w:tcBorders>
              <w:top w:val="nil"/>
              <w:bottom w:val="single" w:sz="4"/>
            </w:tcBorders>
          </w:tcPr>
          <w:p>
            <w:pPr>
              <w:pStyle w:val="0"/>
              <w:ind w:firstLine="283"/>
              <w:jc w:val="both"/>
            </w:pPr>
            <w:r>
              <w:rPr>
                <w:sz w:val="20"/>
              </w:rPr>
              <w:t xml:space="preserve">установке несущих конструкций деревянных зданий и сооружений, ремонте плотничных конструкций.</w:t>
            </w:r>
          </w:p>
        </w:tc>
      </w:tr>
      <w:tr>
        <w:tblPrEx>
          <w:tblBorders>
            <w:insideH w:val="single" w:sz="4"/>
          </w:tblBorders>
        </w:tblPrEx>
        <w:tc>
          <w:tcPr>
            <w:tcW w:w="2041" w:type="dxa"/>
            <w:tcBorders>
              <w:top w:val="single" w:sz="4"/>
              <w:bottom w:val="nil"/>
            </w:tcBorders>
            <w:vMerge w:val="restart"/>
          </w:tcPr>
          <w:p>
            <w:pPr>
              <w:pStyle w:val="0"/>
            </w:pPr>
            <w:r>
              <w:rPr>
                <w:sz w:val="20"/>
              </w:rPr>
              <w:t xml:space="preserve">Выполнение стекольных работ</w:t>
            </w:r>
          </w:p>
        </w:tc>
        <w:tc>
          <w:tcPr>
            <w:tcW w:w="7030" w:type="dxa"/>
            <w:tcBorders>
              <w:top w:val="single" w:sz="4"/>
              <w:bottom w:val="nil"/>
            </w:tcBorders>
          </w:tcPr>
          <w:p>
            <w:pPr>
              <w:pStyle w:val="0"/>
            </w:pPr>
            <w:r>
              <w:rPr>
                <w:sz w:val="20"/>
              </w:rPr>
              <w:t xml:space="preserve">знать:</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виды материалов для стекольных работ;</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виды и устройство ручных инструментов, оборудования и электрооборудования для выполнения работ по остеклению;</w:t>
            </w:r>
          </w:p>
        </w:tc>
      </w:tr>
      <w:tr>
        <w:tc>
          <w:tcPr>
            <w:tcW w:w="2041" w:type="dxa"/>
            <w:tcBorders>
              <w:top w:val="nil"/>
              <w:bottom w:val="single" w:sz="4"/>
            </w:tcBorders>
            <w:vMerge w:val="restart"/>
          </w:tcPr>
          <w:p>
            <w:pPr>
              <w:pStyle w:val="0"/>
            </w:pPr>
            <w:r>
              <w:rPr>
                <w:sz w:val="20"/>
              </w:rPr>
            </w:r>
          </w:p>
        </w:tc>
        <w:tc>
          <w:tcPr>
            <w:tcW w:w="7030" w:type="dxa"/>
            <w:tcBorders>
              <w:top w:val="nil"/>
              <w:bottom w:val="nil"/>
            </w:tcBorders>
          </w:tcPr>
          <w:p>
            <w:pPr>
              <w:pStyle w:val="0"/>
              <w:ind w:firstLine="283"/>
              <w:jc w:val="both"/>
            </w:pPr>
            <w:r>
              <w:rPr>
                <w:sz w:val="20"/>
              </w:rPr>
              <w:t xml:space="preserve">способы остекления в зависимости от марок стекла и видов переплетов;</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способы установки стеклопакетов, стеклоблоков и стеклопрофилита;</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способы ремонта витринных стекол;</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виды технической документации на выполнение работ;</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правила охраны труда при выполнении работ по остеклению.</w:t>
            </w:r>
          </w:p>
        </w:tc>
      </w:tr>
      <w:tr>
        <w:tc>
          <w:tcPr>
            <w:tcBorders>
              <w:top w:val="nil"/>
              <w:bottom w:val="single" w:sz="4"/>
            </w:tcBorders>
            <w:vMerge w:val="continue"/>
          </w:tcPr>
          <w:p/>
        </w:tc>
        <w:tc>
          <w:tcPr>
            <w:tcW w:w="7030" w:type="dxa"/>
            <w:tcBorders>
              <w:top w:val="nil"/>
              <w:bottom w:val="nil"/>
            </w:tcBorders>
          </w:tcPr>
          <w:p>
            <w:pPr>
              <w:pStyle w:val="0"/>
            </w:pPr>
            <w:r>
              <w:rPr>
                <w:sz w:val="20"/>
              </w:rPr>
              <w:t xml:space="preserve">уметь:</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подбирать материалы, инструменты и оборудование с учетом технологических требований;</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определять количество, качество и объемы применяемых материалов;</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производить разметку;</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готовить переплеты к остеклению;</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резать и вставлять стекла в переплеты;</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устанавливать в переплеты стеклопакеты;</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устраивать перегородки из стеклоблоков и стеклопрофилита;</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читать рабочие чертежи;</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выполнять требования охраны труда и техники безопасности.</w:t>
            </w:r>
          </w:p>
        </w:tc>
      </w:tr>
      <w:tr>
        <w:tc>
          <w:tcPr>
            <w:tcBorders>
              <w:top w:val="nil"/>
              <w:bottom w:val="single" w:sz="4"/>
            </w:tcBorders>
            <w:vMerge w:val="continue"/>
          </w:tcPr>
          <w:p/>
        </w:tc>
        <w:tc>
          <w:tcPr>
            <w:tcW w:w="7030" w:type="dxa"/>
            <w:tcBorders>
              <w:top w:val="nil"/>
              <w:bottom w:val="nil"/>
            </w:tcBorders>
          </w:tcPr>
          <w:p>
            <w:pPr>
              <w:pStyle w:val="0"/>
            </w:pPr>
            <w:r>
              <w:rPr>
                <w:sz w:val="20"/>
              </w:rPr>
              <w:t xml:space="preserve">иметь практический опыт в:</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организации рабочего места;</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выполнении подготовительных работ;</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остеклении переплетов обычным стеклом и стеклом специальных марок;</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установке стеклопакетов, стеклоблоков и стеклопрофилита;</w:t>
            </w:r>
          </w:p>
        </w:tc>
      </w:tr>
      <w:tr>
        <w:tblPrEx>
          <w:tblBorders>
            <w:insideH w:val="single" w:sz="4"/>
          </w:tblBorders>
        </w:tblPrEx>
        <w:tc>
          <w:tcPr>
            <w:tcBorders>
              <w:top w:val="nil"/>
              <w:bottom w:val="single" w:sz="4"/>
            </w:tcBorders>
            <w:vMerge w:val="continue"/>
          </w:tcPr>
          <w:p/>
        </w:tc>
        <w:tc>
          <w:tcPr>
            <w:tcW w:w="7030" w:type="dxa"/>
            <w:tcBorders>
              <w:top w:val="nil"/>
              <w:bottom w:val="single" w:sz="4"/>
            </w:tcBorders>
          </w:tcPr>
          <w:p>
            <w:pPr>
              <w:pStyle w:val="0"/>
              <w:ind w:firstLine="283"/>
              <w:jc w:val="both"/>
            </w:pPr>
            <w:r>
              <w:rPr>
                <w:sz w:val="20"/>
              </w:rPr>
              <w:t xml:space="preserve">выполнении ремонтных стекольных работ.</w:t>
            </w:r>
          </w:p>
        </w:tc>
      </w:tr>
      <w:tr>
        <w:tblPrEx>
          <w:tblBorders>
            <w:insideH w:val="single" w:sz="4"/>
          </w:tblBorders>
        </w:tblPrEx>
        <w:tc>
          <w:tcPr>
            <w:tcW w:w="2041" w:type="dxa"/>
            <w:tcBorders>
              <w:top w:val="single" w:sz="4"/>
              <w:bottom w:val="nil"/>
            </w:tcBorders>
            <w:vMerge w:val="restart"/>
          </w:tcPr>
          <w:p>
            <w:pPr>
              <w:pStyle w:val="0"/>
            </w:pPr>
            <w:r>
              <w:rPr>
                <w:sz w:val="20"/>
              </w:rPr>
              <w:t xml:space="preserve">Выполнение работ по устройству паркетных полов</w:t>
            </w:r>
          </w:p>
        </w:tc>
        <w:tc>
          <w:tcPr>
            <w:tcW w:w="7030" w:type="dxa"/>
            <w:tcBorders>
              <w:top w:val="single" w:sz="4"/>
              <w:bottom w:val="nil"/>
            </w:tcBorders>
          </w:tcPr>
          <w:p>
            <w:pPr>
              <w:pStyle w:val="0"/>
            </w:pPr>
            <w:r>
              <w:rPr>
                <w:sz w:val="20"/>
              </w:rPr>
              <w:t xml:space="preserve">знать:</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виды и свойства материалов для устройства полов;</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виды и устройство инструментов и электрифицированных машин;</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способы подготовки оснований под полы;</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способы и приемы настилки паркетных полов;</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виды и способы ремонта паркетных полов;</w:t>
            </w:r>
          </w:p>
        </w:tc>
      </w:tr>
      <w:tr>
        <w:tc>
          <w:tcPr>
            <w:tcBorders>
              <w:top w:val="single" w:sz="4"/>
              <w:bottom w:val="nil"/>
            </w:tcBorders>
            <w:vMerge w:val="continue"/>
          </w:tcPr>
          <w:p/>
        </w:tc>
        <w:tc>
          <w:tcPr>
            <w:tcW w:w="7030" w:type="dxa"/>
            <w:tcBorders>
              <w:top w:val="nil"/>
              <w:bottom w:val="nil"/>
            </w:tcBorders>
          </w:tcPr>
          <w:p>
            <w:pPr>
              <w:pStyle w:val="0"/>
              <w:ind w:firstLine="283"/>
              <w:jc w:val="both"/>
            </w:pPr>
            <w:r>
              <w:rPr>
                <w:sz w:val="20"/>
              </w:rPr>
              <w:t xml:space="preserve">виды технической документации на выполнение работ;</w:t>
            </w:r>
          </w:p>
        </w:tc>
      </w:tr>
      <w:tr>
        <w:tc>
          <w:tcPr>
            <w:tcW w:w="2041" w:type="dxa"/>
            <w:tcBorders>
              <w:top w:val="nil"/>
              <w:bottom w:val="single" w:sz="4"/>
            </w:tcBorders>
            <w:vMerge w:val="restart"/>
          </w:tcPr>
          <w:p>
            <w:pPr>
              <w:pStyle w:val="0"/>
            </w:pPr>
            <w:r>
              <w:rPr>
                <w:sz w:val="20"/>
              </w:rPr>
            </w:r>
          </w:p>
        </w:tc>
        <w:tc>
          <w:tcPr>
            <w:tcW w:w="7030" w:type="dxa"/>
            <w:tcBorders>
              <w:top w:val="nil"/>
              <w:bottom w:val="nil"/>
            </w:tcBorders>
          </w:tcPr>
          <w:p>
            <w:pPr>
              <w:pStyle w:val="0"/>
              <w:ind w:firstLine="283"/>
              <w:jc w:val="both"/>
            </w:pPr>
            <w:r>
              <w:rPr>
                <w:sz w:val="20"/>
              </w:rPr>
              <w:t xml:space="preserve">правила охраны труда при выполнении паркетных работ.</w:t>
            </w:r>
          </w:p>
        </w:tc>
      </w:tr>
      <w:tr>
        <w:tc>
          <w:tcPr>
            <w:tcBorders>
              <w:top w:val="nil"/>
              <w:bottom w:val="single" w:sz="4"/>
            </w:tcBorders>
            <w:vMerge w:val="continue"/>
          </w:tcPr>
          <w:p/>
        </w:tc>
        <w:tc>
          <w:tcPr>
            <w:tcW w:w="7030" w:type="dxa"/>
            <w:tcBorders>
              <w:top w:val="nil"/>
              <w:bottom w:val="nil"/>
            </w:tcBorders>
          </w:tcPr>
          <w:p>
            <w:pPr>
              <w:pStyle w:val="0"/>
            </w:pPr>
            <w:r>
              <w:rPr>
                <w:sz w:val="20"/>
              </w:rPr>
              <w:t xml:space="preserve">уметь:</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выносить отметки уровня чистого пола, устраивать паро-, гидро-, тепло- и звукоизоляцию под полы, выполнять сборные и монолитные стяжки;</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укладывать лаги и настилать полы из различных материалов, устанавливать плинтусы;</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пользоваться ручными инструментами и электрифицированными машинами;</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выполнять требования охраны труда.</w:t>
            </w:r>
          </w:p>
        </w:tc>
      </w:tr>
      <w:tr>
        <w:tc>
          <w:tcPr>
            <w:tcBorders>
              <w:top w:val="nil"/>
              <w:bottom w:val="single" w:sz="4"/>
            </w:tcBorders>
            <w:vMerge w:val="continue"/>
          </w:tcPr>
          <w:p/>
        </w:tc>
        <w:tc>
          <w:tcPr>
            <w:tcW w:w="7030" w:type="dxa"/>
            <w:tcBorders>
              <w:top w:val="nil"/>
              <w:bottom w:val="nil"/>
            </w:tcBorders>
          </w:tcPr>
          <w:p>
            <w:pPr>
              <w:pStyle w:val="0"/>
            </w:pPr>
            <w:r>
              <w:rPr>
                <w:sz w:val="20"/>
              </w:rPr>
              <w:t xml:space="preserve">иметь практический опыт в:</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организации рабочего места;</w:t>
            </w:r>
          </w:p>
        </w:tc>
      </w:tr>
      <w:tr>
        <w:tc>
          <w:tcPr>
            <w:tcBorders>
              <w:top w:val="nil"/>
              <w:bottom w:val="single" w:sz="4"/>
            </w:tcBorders>
            <w:vMerge w:val="continue"/>
          </w:tcPr>
          <w:p/>
        </w:tc>
        <w:tc>
          <w:tcPr>
            <w:tcW w:w="7030" w:type="dxa"/>
            <w:tcBorders>
              <w:top w:val="nil"/>
              <w:bottom w:val="nil"/>
            </w:tcBorders>
          </w:tcPr>
          <w:p>
            <w:pPr>
              <w:pStyle w:val="0"/>
              <w:ind w:firstLine="283"/>
              <w:jc w:val="both"/>
            </w:pPr>
            <w:r>
              <w:rPr>
                <w:sz w:val="20"/>
              </w:rPr>
              <w:t xml:space="preserve">подготовке оснований под разные виды полов;</w:t>
            </w:r>
          </w:p>
        </w:tc>
      </w:tr>
      <w:tr>
        <w:tc>
          <w:tcPr>
            <w:tcBorders>
              <w:top w:val="nil"/>
              <w:bottom w:val="single" w:sz="4"/>
            </w:tcBorders>
            <w:vMerge w:val="continue"/>
          </w:tcPr>
          <w:p/>
        </w:tc>
        <w:tc>
          <w:tcPr>
            <w:tcW w:w="7030" w:type="dxa"/>
            <w:tcBorders>
              <w:top w:val="nil"/>
              <w:bottom w:val="single" w:sz="4"/>
            </w:tcBorders>
          </w:tcPr>
          <w:p>
            <w:pPr>
              <w:pStyle w:val="0"/>
              <w:ind w:firstLine="283"/>
              <w:jc w:val="both"/>
            </w:pPr>
            <w:r>
              <w:rPr>
                <w:sz w:val="20"/>
              </w:rPr>
              <w:t xml:space="preserve">устройстве полов из отдельных досок, брусков, клееных щитов, древесноволокнистых и древесностружечных плит, ламината, паркета.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25.12.2017 N 1259</w:t>
            <w:br/>
            <w:t>(ред. от 03.02.2022)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CEF4C4E1060DCFB781C3B173F3415F6E053B232FE2E83F9C5BBCABBF965ED159E44934BD676D681A259D0E2A6F94235D4B02CBF169295DEhFaAN" TargetMode = "External"/>
	<Relationship Id="rId8" Type="http://schemas.openxmlformats.org/officeDocument/2006/relationships/hyperlink" Target="consultantplus://offline/ref=1CEF4C4E1060DCFB781C3B173F3415F6E65AB430FA2583F9C5BBCABBF965ED159E44934BD676D683A159D0E2A6F94235D4B02CBF169295DEhFaAN" TargetMode = "External"/>
	<Relationship Id="rId9" Type="http://schemas.openxmlformats.org/officeDocument/2006/relationships/hyperlink" Target="consultantplus://offline/ref=1CEF4C4E1060DCFB781C3B173F3415F6E555BA31F22583F9C5BBCABBF965ED159E44934BD676D686A159D0E2A6F94235D4B02CBF169295DEhFaAN" TargetMode = "External"/>
	<Relationship Id="rId10" Type="http://schemas.openxmlformats.org/officeDocument/2006/relationships/hyperlink" Target="consultantplus://offline/ref=1CEF4C4E1060DCFB781C3B173F3415F6E053B232FE2E83F9C5BBCABBF965ED159E44934BD676D681A259D0E2A6F94235D4B02CBF169295DEhFaAN" TargetMode = "External"/>
	<Relationship Id="rId11" Type="http://schemas.openxmlformats.org/officeDocument/2006/relationships/hyperlink" Target="consultantplus://offline/ref=1CEF4C4E1060DCFB781C3B173F3415F6E653B731F92D83F9C5BBCABBF965ED159E44934BD676D68FA359D0E2A6F94235D4B02CBF169295DEhFaAN" TargetMode = "External"/>
	<Relationship Id="rId12" Type="http://schemas.openxmlformats.org/officeDocument/2006/relationships/hyperlink" Target="consultantplus://offline/ref=1CEF4C4E1060DCFB781C3B173F3415F6E653B731F92D83F9C5BBCABBF965ED159E44934BD676D683A459D0E2A6F94235D4B02CBF169295DEhFaAN" TargetMode = "External"/>
	<Relationship Id="rId13" Type="http://schemas.openxmlformats.org/officeDocument/2006/relationships/hyperlink" Target="consultantplus://offline/ref=1CEF4C4E1060DCFB781C3B173F3415F6E051B23FFD2C83F9C5BBCABBF965ED159E44934BD676D483AA59D0E2A6F94235D4B02CBF169295DEhFaAN" TargetMode = "External"/>
	<Relationship Id="rId14" Type="http://schemas.openxmlformats.org/officeDocument/2006/relationships/hyperlink" Target="consultantplus://offline/ref=1CEF4C4E1060DCFB781C3B173F3415F6E755B431FA2F83F9C5BBCABBF965ED159E44934BD676DF81A059D0E2A6F94235D4B02CBF169295DEhFaAN" TargetMode = "External"/>
	<Relationship Id="rId15" Type="http://schemas.openxmlformats.org/officeDocument/2006/relationships/hyperlink" Target="consultantplus://offline/ref=1CEF4C4E1060DCFB781C3B173F3415F6E55BB337F92A83F9C5BBCABBF965ED159E44934BD676D686A359D0E2A6F94235D4B02CBF169295DEhFaAN" TargetMode = "External"/>
	<Relationship Id="rId16" Type="http://schemas.openxmlformats.org/officeDocument/2006/relationships/hyperlink" Target="consultantplus://offline/ref=1CEF4C4E1060DCFB781C3B173F3415F6E55BB337F92B83F9C5BBCABBF965ED159E44934BD676D687AA59D0E2A6F94235D4B02CBF169295DEhFaA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25.12.2017 N 1259
(ред. от 03.02.2022)
"Об утверждении федерального государственного образовательного стандарта среднего профессионального образования по профессии 08.01.05 Мастер столярно-плотничных и паркетных работ"
(Зарегистрировано в Минюсте России 23.01.2018 N 49734)</dc:title>
  <dcterms:created xsi:type="dcterms:W3CDTF">2022-12-09T13:26:32Z</dcterms:created>
</cp:coreProperties>
</file>