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1544</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w:t>
              <w:br/>
              <w:t xml:space="preserve">(Зарегистрировано в Минюсте России 26.12.2016 N 44977)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0"/>
        <w:outlineLvl w:val="0"/>
      </w:pPr>
      <w:r>
        <w:rPr>
          <w:sz w:val="20"/>
        </w:rPr>
        <w:t xml:space="preserve">Зарегистрировано в Минюсте России 26 декабря 2016 г. N 44977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1544</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15.01.33 ТОКАРЬ НА СТАНКАХ С ЧИСЛОВЫМ</w:t>
      </w:r>
    </w:p>
    <w:p>
      <w:pPr>
        <w:pStyle w:val="2"/>
        <w:jc w:val="center"/>
      </w:pPr>
      <w:r>
        <w:rPr>
          <w:sz w:val="20"/>
        </w:rPr>
        <w:t xml:space="preserve">ПРОГРАММНЫМ УПРАВЛЕНИЕМ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15.01.33 Токарь на станках с числовым программным управлением.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1544</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15.01.33 ТОКАРЬ НА СТАНКАХ С ЧИСЛОВЫМ</w:t>
      </w:r>
    </w:p>
    <w:p>
      <w:pPr>
        <w:pStyle w:val="2"/>
        <w:jc w:val="center"/>
      </w:pPr>
      <w:r>
        <w:rPr>
          <w:sz w:val="20"/>
        </w:rPr>
        <w:t xml:space="preserve">ПРОГРАММНЫМ УПРАВЛЕНИЕМ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15.01.33 Токарь на станках с числовым программным управлением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43"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9" w:name="P49"/>
    <w:bookmarkEnd w:id="49"/>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6"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71" w:name="P71"/>
    <w:bookmarkEnd w:id="71"/>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8"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токарь-карусельщик;</w:t>
      </w:r>
    </w:p>
    <w:p>
      <w:pPr>
        <w:pStyle w:val="0"/>
        <w:spacing w:before="200" w:line-rule="auto"/>
        <w:ind w:firstLine="540"/>
        <w:jc w:val="both"/>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токарь-расточник;</w:t>
      </w:r>
    </w:p>
    <w:p>
      <w:pPr>
        <w:pStyle w:val="0"/>
        <w:spacing w:before="200" w:line-rule="auto"/>
        <w:ind w:firstLine="540"/>
        <w:jc w:val="both"/>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токарь-револьверщик.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5"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92" w:name="P92"/>
    <w:bookmarkEnd w:id="92"/>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2721"/>
      </w:tblGrid>
      <w:tr>
        <w:tc>
          <w:tcPr>
            <w:tcW w:w="6350" w:type="dxa"/>
          </w:tcPr>
          <w:p>
            <w:pPr>
              <w:pStyle w:val="0"/>
              <w:jc w:val="center"/>
            </w:pPr>
            <w:r>
              <w:rPr>
                <w:sz w:val="20"/>
              </w:rPr>
              <w:t xml:space="preserve">Структура образовательной программы</w:t>
            </w:r>
          </w:p>
        </w:tc>
        <w:tc>
          <w:tcPr>
            <w:tcW w:w="2721" w:type="dxa"/>
          </w:tcPr>
          <w:p>
            <w:pPr>
              <w:pStyle w:val="0"/>
              <w:jc w:val="center"/>
            </w:pPr>
            <w:r>
              <w:rPr>
                <w:sz w:val="20"/>
              </w:rPr>
              <w:t xml:space="preserve">Объем образовательной программы в академических часах</w:t>
            </w:r>
          </w:p>
        </w:tc>
      </w:tr>
      <w:tr>
        <w:tc>
          <w:tcPr>
            <w:tcW w:w="6350" w:type="dxa"/>
          </w:tcPr>
          <w:p>
            <w:pPr>
              <w:pStyle w:val="0"/>
            </w:pPr>
            <w:r>
              <w:rPr>
                <w:sz w:val="20"/>
              </w:rPr>
              <w:t xml:space="preserve">Общепрофессиональный цикл</w:t>
            </w:r>
          </w:p>
        </w:tc>
        <w:tc>
          <w:tcPr>
            <w:tcW w:w="2721" w:type="dxa"/>
          </w:tcPr>
          <w:p>
            <w:pPr>
              <w:pStyle w:val="0"/>
              <w:jc w:val="center"/>
            </w:pPr>
            <w:r>
              <w:rPr>
                <w:sz w:val="20"/>
              </w:rPr>
              <w:t xml:space="preserve">не менее 180</w:t>
            </w:r>
          </w:p>
        </w:tc>
      </w:tr>
      <w:tr>
        <w:tc>
          <w:tcPr>
            <w:tcW w:w="6350" w:type="dxa"/>
          </w:tcPr>
          <w:p>
            <w:pPr>
              <w:pStyle w:val="0"/>
            </w:pPr>
            <w:r>
              <w:rPr>
                <w:sz w:val="20"/>
              </w:rPr>
              <w:t xml:space="preserve">Профессиональный цикл</w:t>
            </w:r>
          </w:p>
        </w:tc>
        <w:tc>
          <w:tcPr>
            <w:tcW w:w="2721" w:type="dxa"/>
          </w:tcPr>
          <w:p>
            <w:pPr>
              <w:pStyle w:val="0"/>
              <w:jc w:val="center"/>
            </w:pPr>
            <w:r>
              <w:rPr>
                <w:sz w:val="20"/>
              </w:rPr>
              <w:t xml:space="preserve">не менее 972</w:t>
            </w:r>
          </w:p>
        </w:tc>
      </w:tr>
      <w:tr>
        <w:tc>
          <w:tcPr>
            <w:tcW w:w="6350" w:type="dxa"/>
          </w:tcPr>
          <w:p>
            <w:pPr>
              <w:pStyle w:val="0"/>
            </w:pPr>
            <w:r>
              <w:rPr>
                <w:sz w:val="20"/>
              </w:rPr>
              <w:t xml:space="preserve">Государственная итоговая аттестация</w:t>
            </w:r>
          </w:p>
        </w:tc>
        <w:tc>
          <w:tcPr>
            <w:tcW w:w="2721" w:type="dxa"/>
          </w:tcPr>
          <w:p>
            <w:pPr>
              <w:pStyle w:val="0"/>
              <w:jc w:val="center"/>
            </w:pPr>
            <w:r>
              <w:rPr>
                <w:sz w:val="20"/>
              </w:rPr>
              <w:t xml:space="preserve">36</w:t>
            </w:r>
          </w:p>
        </w:tc>
      </w:tr>
      <w:tr>
        <w:tc>
          <w:tcPr>
            <w:gridSpan w:val="2"/>
            <w:tcW w:w="9071" w:type="dxa"/>
          </w:tcPr>
          <w:p>
            <w:pPr>
              <w:pStyle w:val="0"/>
              <w:jc w:val="center"/>
            </w:pPr>
            <w:r>
              <w:rPr>
                <w:sz w:val="20"/>
              </w:rPr>
              <w:t xml:space="preserve">Общий объем образовательной программы:</w:t>
            </w:r>
          </w:p>
        </w:tc>
      </w:tr>
      <w:tr>
        <w:tc>
          <w:tcPr>
            <w:tcW w:w="6350" w:type="dxa"/>
          </w:tcPr>
          <w:p>
            <w:pPr>
              <w:pStyle w:val="0"/>
            </w:pPr>
            <w:r>
              <w:rPr>
                <w:sz w:val="20"/>
              </w:rPr>
              <w:t xml:space="preserve">на базе среднего общего образования</w:t>
            </w:r>
          </w:p>
        </w:tc>
        <w:tc>
          <w:tcPr>
            <w:tcW w:w="2721" w:type="dxa"/>
          </w:tcPr>
          <w:p>
            <w:pPr>
              <w:pStyle w:val="0"/>
              <w:jc w:val="center"/>
            </w:pPr>
            <w:r>
              <w:rPr>
                <w:sz w:val="20"/>
              </w:rPr>
              <w:t xml:space="preserve">1476</w:t>
            </w:r>
          </w:p>
        </w:tc>
      </w:tr>
      <w:tr>
        <w:tc>
          <w:tcPr>
            <w:tcW w:w="6350"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721"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2"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5" w:name="P125"/>
    <w:bookmarkEnd w:id="125"/>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60"/>
        <w:gridCol w:w="3600"/>
      </w:tblGrid>
      <w:tr>
        <w:tc>
          <w:tcPr>
            <w:tcW w:w="5460" w:type="dxa"/>
          </w:tcPr>
          <w:p>
            <w:pPr>
              <w:pStyle w:val="0"/>
              <w:jc w:val="center"/>
            </w:pPr>
            <w:r>
              <w:rPr>
                <w:sz w:val="20"/>
              </w:rPr>
              <w:t xml:space="preserve">Основные виды деятельности</w:t>
            </w:r>
          </w:p>
        </w:tc>
        <w:tc>
          <w:tcPr>
            <w:tcW w:w="3600" w:type="dxa"/>
          </w:tcPr>
          <w:p>
            <w:pPr>
              <w:pStyle w:val="0"/>
              <w:jc w:val="center"/>
            </w:pPr>
            <w:r>
              <w:rPr>
                <w:sz w:val="20"/>
              </w:rPr>
              <w:t xml:space="preserve">Наименование квалификаций квалифицированного рабочего, служащего</w:t>
            </w:r>
          </w:p>
        </w:tc>
      </w:tr>
      <w:tr>
        <w:tc>
          <w:tcPr>
            <w:tcW w:w="5460" w:type="dxa"/>
            <w:vMerge w:val="restart"/>
          </w:tcPr>
          <w:p>
            <w:pPr>
              <w:pStyle w:val="0"/>
            </w:pPr>
            <w:r>
              <w:rPr>
                <w:sz w:val="20"/>
              </w:rPr>
              <w:t xml:space="preserve">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3600" w:type="dxa"/>
            <w:tcBorders>
              <w:bottom w:val="nil"/>
            </w:tcBorders>
          </w:tcPr>
          <w:p>
            <w:pPr>
              <w:pStyle w:val="0"/>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токарь-карусельщик;</w:t>
            </w:r>
          </w:p>
        </w:tc>
      </w:tr>
      <w:tr>
        <w:tblPrEx>
          <w:tblBorders>
            <w:insideH w:val="nil"/>
          </w:tblBorders>
        </w:tblPrEx>
        <w:tc>
          <w:tcPr>
            <w:vMerge w:val="continue"/>
          </w:tcPr>
          <w:p/>
        </w:tc>
        <w:tc>
          <w:tcPr>
            <w:tcW w:w="3600" w:type="dxa"/>
            <w:tcBorders>
              <w:top w:val="nil"/>
              <w:bottom w:val="nil"/>
            </w:tcBorders>
          </w:tcPr>
          <w:p>
            <w:pPr>
              <w:pStyle w:val="0"/>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токарь-расточник;</w:t>
            </w:r>
          </w:p>
        </w:tc>
      </w:tr>
      <w:tr>
        <w:tc>
          <w:tcPr>
            <w:vMerge w:val="continue"/>
          </w:tcPr>
          <w:p/>
        </w:tc>
        <w:tc>
          <w:tcPr>
            <w:tcW w:w="3600" w:type="dxa"/>
            <w:tcBorders>
              <w:top w:val="nil"/>
            </w:tcBorders>
          </w:tcPr>
          <w:p>
            <w:pPr>
              <w:pStyle w:val="0"/>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токарь-револьверщик</w:t>
            </w:r>
          </w:p>
        </w:tc>
      </w:tr>
      <w:tr>
        <w:tc>
          <w:tcPr>
            <w:tcW w:w="5460" w:type="dxa"/>
          </w:tcPr>
          <w:p>
            <w:pPr>
              <w:pStyle w:val="0"/>
            </w:pPr>
            <w:r>
              <w:rPr>
                <w:sz w:val="20"/>
              </w:rPr>
              <w:t xml:space="preserve">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3600" w:type="dxa"/>
          </w:tcPr>
          <w:p>
            <w:pPr>
              <w:pStyle w:val="0"/>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токарь-карусельщик;</w:t>
            </w:r>
          </w:p>
        </w:tc>
      </w:tr>
      <w:tr>
        <w:tc>
          <w:tcPr>
            <w:tcW w:w="5460" w:type="dxa"/>
          </w:tcPr>
          <w:p>
            <w:pPr>
              <w:pStyle w:val="0"/>
            </w:pPr>
            <w:r>
              <w:rPr>
                <w:sz w:val="20"/>
              </w:rPr>
              <w:t xml:space="preserve">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c>
        <w:tc>
          <w:tcPr>
            <w:tcW w:w="3600" w:type="dxa"/>
          </w:tcPr>
          <w:p>
            <w:pPr>
              <w:pStyle w:val="0"/>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токарь-расточник</w:t>
            </w:r>
          </w:p>
        </w:tc>
      </w:tr>
      <w:tr>
        <w:tc>
          <w:tcPr>
            <w:tcW w:w="5460" w:type="dxa"/>
          </w:tcPr>
          <w:p>
            <w:pPr>
              <w:pStyle w:val="0"/>
            </w:pPr>
            <w:r>
              <w:rPr>
                <w:sz w:val="20"/>
              </w:rPr>
              <w:t xml:space="preserve">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c>
          <w:tcPr>
            <w:tcW w:w="3600" w:type="dxa"/>
          </w:tcPr>
          <w:p>
            <w:pPr>
              <w:pStyle w:val="0"/>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токарь-револьверщик</w:t>
            </w:r>
          </w:p>
        </w:tc>
      </w:tr>
      <w:tr>
        <w:tc>
          <w:tcPr>
            <w:tcW w:w="5460" w:type="dxa"/>
            <w:vMerge w:val="restart"/>
          </w:tcPr>
          <w:p>
            <w:pPr>
              <w:pStyle w:val="0"/>
            </w:pPr>
            <w:r>
              <w:rPr>
                <w:sz w:val="20"/>
              </w:rPr>
              <w:t xml:space="preserve">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3600" w:type="dxa"/>
            <w:tcBorders>
              <w:bottom w:val="nil"/>
            </w:tcBorders>
          </w:tcPr>
          <w:p>
            <w:pPr>
              <w:pStyle w:val="0"/>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токарь-карусельщик;</w:t>
            </w:r>
          </w:p>
        </w:tc>
      </w:tr>
      <w:tr>
        <w:tblPrEx>
          <w:tblBorders>
            <w:insideH w:val="nil"/>
          </w:tblBorders>
        </w:tblPrEx>
        <w:tc>
          <w:tcPr>
            <w:vMerge w:val="continue"/>
          </w:tcPr>
          <w:p/>
        </w:tc>
        <w:tc>
          <w:tcPr>
            <w:tcW w:w="3600" w:type="dxa"/>
            <w:tcBorders>
              <w:top w:val="nil"/>
              <w:bottom w:val="nil"/>
            </w:tcBorders>
          </w:tcPr>
          <w:p>
            <w:pPr>
              <w:pStyle w:val="0"/>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токарь-расточник;</w:t>
            </w:r>
          </w:p>
        </w:tc>
      </w:tr>
      <w:tr>
        <w:tblPrEx>
          <w:tblBorders>
            <w:insideH w:val="nil"/>
          </w:tblBorders>
        </w:tblPrEx>
        <w:tc>
          <w:tcPr>
            <w:vMerge w:val="continue"/>
          </w:tcPr>
          <w:p/>
        </w:tc>
        <w:tc>
          <w:tcPr>
            <w:tcW w:w="3600" w:type="dxa"/>
            <w:tcBorders>
              <w:top w:val="nil"/>
            </w:tcBorders>
          </w:tcPr>
          <w:p>
            <w:pPr>
              <w:pStyle w:val="0"/>
            </w:pPr>
            <w:r>
              <w:rPr>
                <w:sz w:val="20"/>
              </w:rPr>
              <w:t xml:space="preserve">Токарь </w:t>
            </w:r>
            <w:r>
              <w:rPr>
                <w:position w:val="-2"/>
              </w:rPr>
              <w:drawing>
                <wp:inline distT="0" distB="0" distL="0" distR="0">
                  <wp:extent cx="19939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52400"/>
                          </a:xfrm>
                          <a:prstGeom prst="rect">
                            <a:avLst/>
                          </a:prstGeom>
                          <a:noFill/>
                          <a:ln>
                            <a:noFill/>
                          </a:ln>
                        </pic:spPr>
                      </pic:pic>
                    </a:graphicData>
                  </a:graphic>
                </wp:inline>
              </w:drawing>
            </w:r>
            <w:r>
              <w:rPr>
                <w:sz w:val="20"/>
              </w:rPr>
              <w:t xml:space="preserve"> токарь-револьверщик</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1.1. Осуществлять подготовку и обслуживание рабочего места для работы на токарных станках.</w:t>
      </w:r>
    </w:p>
    <w:p>
      <w:pPr>
        <w:pStyle w:val="0"/>
        <w:spacing w:before="200" w:line-rule="auto"/>
        <w:ind w:firstLine="540"/>
        <w:jc w:val="both"/>
      </w:pPr>
      <w:r>
        <w:rPr>
          <w:sz w:val="20"/>
        </w:rPr>
        <w:t xml:space="preserve">ПК 1.2. Осуществлять подготовку к использованию инструмента и оснастки для работы на токарных станках в соответствии с полученным заданием.</w:t>
      </w:r>
    </w:p>
    <w:p>
      <w:pPr>
        <w:pStyle w:val="0"/>
        <w:spacing w:before="200" w:line-rule="auto"/>
        <w:ind w:firstLine="540"/>
        <w:jc w:val="both"/>
      </w:pPr>
      <w:r>
        <w:rPr>
          <w:sz w:val="20"/>
        </w:rPr>
        <w:t xml:space="preserve">ПК 1.3. Определять последовательность и оптимальные режимы обработки различных изделий на токарных станках в соответствии с заданием.</w:t>
      </w:r>
    </w:p>
    <w:p>
      <w:pPr>
        <w:pStyle w:val="0"/>
        <w:spacing w:before="200" w:line-rule="auto"/>
        <w:ind w:firstLine="540"/>
        <w:jc w:val="both"/>
      </w:pPr>
      <w:r>
        <w:rPr>
          <w:sz w:val="20"/>
        </w:rPr>
        <w:t xml:space="preserve">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p>
      <w:pPr>
        <w:pStyle w:val="0"/>
        <w:spacing w:before="200" w:line-rule="auto"/>
        <w:ind w:firstLine="540"/>
        <w:jc w:val="both"/>
      </w:pPr>
      <w:r>
        <w:rPr>
          <w:sz w:val="20"/>
        </w:rPr>
        <w:t xml:space="preserve">3.4.2. 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2.1. Осуществлять подготовку и обслуживание рабочего места для работы на токарно-карусельных станках.</w:t>
      </w:r>
    </w:p>
    <w:p>
      <w:pPr>
        <w:pStyle w:val="0"/>
        <w:spacing w:before="200" w:line-rule="auto"/>
        <w:ind w:firstLine="540"/>
        <w:jc w:val="both"/>
      </w:pPr>
      <w:r>
        <w:rPr>
          <w:sz w:val="20"/>
        </w:rPr>
        <w:t xml:space="preserve">ПК 2.2. Осуществлять подготовку к использованию инструмента и оснастки для работы на токарно-карусельных станках в соответствии с полученным заданием.</w:t>
      </w:r>
    </w:p>
    <w:p>
      <w:pPr>
        <w:pStyle w:val="0"/>
        <w:spacing w:before="200" w:line-rule="auto"/>
        <w:ind w:firstLine="540"/>
        <w:jc w:val="both"/>
      </w:pPr>
      <w:r>
        <w:rPr>
          <w:sz w:val="20"/>
        </w:rPr>
        <w:t xml:space="preserve">ПК 2.3. Определять последовательность и оптимальные режимы обработки различных изделий на токарно-карусельных станках в соответствии с заданием.</w:t>
      </w:r>
    </w:p>
    <w:p>
      <w:pPr>
        <w:pStyle w:val="0"/>
        <w:spacing w:before="200" w:line-rule="auto"/>
        <w:ind w:firstLine="540"/>
        <w:jc w:val="both"/>
      </w:pPr>
      <w:r>
        <w:rPr>
          <w:sz w:val="20"/>
        </w:rPr>
        <w:t xml:space="preserve">ПК 2.4. Вести технологический процесс обработки деталей на токарно-карусельных станках с соблюдением требований к качеству, в соответствии с заданием и с технической документацией.</w:t>
      </w:r>
    </w:p>
    <w:p>
      <w:pPr>
        <w:pStyle w:val="0"/>
        <w:spacing w:before="200" w:line-rule="auto"/>
        <w:ind w:firstLine="540"/>
        <w:jc w:val="both"/>
      </w:pPr>
      <w:r>
        <w:rPr>
          <w:sz w:val="20"/>
        </w:rPr>
        <w:t xml:space="preserve">3.4.3. 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3.1. Осуществлять подготовку и обслуживание рабочего места для работы на токарно-расточных станках.</w:t>
      </w:r>
    </w:p>
    <w:p>
      <w:pPr>
        <w:pStyle w:val="0"/>
        <w:spacing w:before="200" w:line-rule="auto"/>
        <w:ind w:firstLine="540"/>
        <w:jc w:val="both"/>
      </w:pPr>
      <w:r>
        <w:rPr>
          <w:sz w:val="20"/>
        </w:rPr>
        <w:t xml:space="preserve">ПК 3.2. Осуществлять подготовку к использованию инструмента и оснастки для работы на токарно-расточных станках в соответствии с полученным заданием.</w:t>
      </w:r>
    </w:p>
    <w:p>
      <w:pPr>
        <w:pStyle w:val="0"/>
        <w:spacing w:before="200" w:line-rule="auto"/>
        <w:ind w:firstLine="540"/>
        <w:jc w:val="both"/>
      </w:pPr>
      <w:r>
        <w:rPr>
          <w:sz w:val="20"/>
        </w:rPr>
        <w:t xml:space="preserve">ПК 3.3. Определять последовательность и оптимальные режимы обработки различных изделий на токарно-расточных станках в соответствии с заданием.</w:t>
      </w:r>
    </w:p>
    <w:p>
      <w:pPr>
        <w:pStyle w:val="0"/>
        <w:spacing w:before="200" w:line-rule="auto"/>
        <w:ind w:firstLine="540"/>
        <w:jc w:val="both"/>
      </w:pPr>
      <w:r>
        <w:rPr>
          <w:sz w:val="20"/>
        </w:rPr>
        <w:t xml:space="preserve">ПК 3.4. Вести технологический процесс обработки деталей на токарно-расточных станках с соблюдением требований к качеству, в соответствии с заданием и с технической документацией.</w:t>
      </w:r>
    </w:p>
    <w:p>
      <w:pPr>
        <w:pStyle w:val="0"/>
        <w:spacing w:before="200" w:line-rule="auto"/>
        <w:ind w:firstLine="540"/>
        <w:jc w:val="both"/>
      </w:pPr>
      <w:r>
        <w:rPr>
          <w:sz w:val="20"/>
        </w:rPr>
        <w:t xml:space="preserve">3.4.4. 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4.1. Осуществлять подготовку и обслуживание рабочего места для работы на токарно-револьверных станках.</w:t>
      </w:r>
    </w:p>
    <w:p>
      <w:pPr>
        <w:pStyle w:val="0"/>
        <w:spacing w:before="200" w:line-rule="auto"/>
        <w:ind w:firstLine="540"/>
        <w:jc w:val="both"/>
      </w:pPr>
      <w:r>
        <w:rPr>
          <w:sz w:val="20"/>
        </w:rPr>
        <w:t xml:space="preserve">ПК 4.2. Осуществлять подготовку к использованию инструмента и оснастки для работы на токарно-револьверных станках в соответствии с полученным заданием.</w:t>
      </w:r>
    </w:p>
    <w:p>
      <w:pPr>
        <w:pStyle w:val="0"/>
        <w:spacing w:before="200" w:line-rule="auto"/>
        <w:ind w:firstLine="540"/>
        <w:jc w:val="both"/>
      </w:pPr>
      <w:r>
        <w:rPr>
          <w:sz w:val="20"/>
        </w:rPr>
        <w:t xml:space="preserve">ПК 4.3. Определять последовательность и оптимальные режимы обработки различных изделий на токарно-револьверных станках в соответствии с заданием.</w:t>
      </w:r>
    </w:p>
    <w:p>
      <w:pPr>
        <w:pStyle w:val="0"/>
        <w:spacing w:before="200" w:line-rule="auto"/>
        <w:ind w:firstLine="540"/>
        <w:jc w:val="both"/>
      </w:pPr>
      <w:r>
        <w:rPr>
          <w:sz w:val="20"/>
        </w:rPr>
        <w:t xml:space="preserve">ПК 4.4. Вести технологический процесс обработки деталей на токарно-револьверных станках с соблюдением требований к качеству, в соответствии с заданием и с технической документацией.</w:t>
      </w:r>
    </w:p>
    <w:p>
      <w:pPr>
        <w:pStyle w:val="0"/>
        <w:spacing w:before="200" w:line-rule="auto"/>
        <w:ind w:firstLine="540"/>
        <w:jc w:val="both"/>
      </w:pPr>
      <w:r>
        <w:rPr>
          <w:sz w:val="20"/>
        </w:rPr>
        <w:t xml:space="preserve">3.4.5.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5.1. Осуществлять подготовку и обслуживание рабочего места для работы на токарных станках с числовым программным управлением.</w:t>
      </w:r>
    </w:p>
    <w:p>
      <w:pPr>
        <w:pStyle w:val="0"/>
        <w:spacing w:before="200" w:line-rule="auto"/>
        <w:ind w:firstLine="540"/>
        <w:jc w:val="both"/>
      </w:pPr>
      <w:r>
        <w:rPr>
          <w:sz w:val="20"/>
        </w:rPr>
        <w:t xml:space="preserve">ПК 5.2. Осуществлять подготовку к использованию инструмента и оснастки для работы на токарных станках с числовым программным управлением в соответствии с полученным заданием.</w:t>
      </w:r>
    </w:p>
    <w:p>
      <w:pPr>
        <w:pStyle w:val="0"/>
        <w:spacing w:before="200" w:line-rule="auto"/>
        <w:ind w:firstLine="540"/>
        <w:jc w:val="both"/>
      </w:pPr>
      <w:r>
        <w:rPr>
          <w:sz w:val="20"/>
        </w:rPr>
        <w:t xml:space="preserve">ПК 5.3.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p>
      <w:pPr>
        <w:pStyle w:val="0"/>
        <w:spacing w:before="200" w:line-rule="auto"/>
        <w:ind w:firstLine="540"/>
        <w:jc w:val="both"/>
      </w:pPr>
      <w:r>
        <w:rPr>
          <w:sz w:val="20"/>
        </w:rPr>
        <w:t xml:space="preserve">ПК 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68"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w:history="0" r:id="rId25"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&lt;4&gt;.</w:t>
      </w:r>
    </w:p>
    <w:p>
      <w:pPr>
        <w:pStyle w:val="0"/>
        <w:jc w:val="both"/>
      </w:pPr>
      <w:r>
        <w:rPr>
          <w:sz w:val="20"/>
        </w:rPr>
        <w:t xml:space="preserve">(п. 4.5 в ред.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Бюджетный </w:t>
      </w:r>
      <w:hyperlink w:history="0" r:id="rId27"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&lt;4&gt;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 15.01.33</w:t>
      </w:r>
    </w:p>
    <w:p>
      <w:pPr>
        <w:pStyle w:val="0"/>
        <w:jc w:val="right"/>
      </w:pPr>
      <w:r>
        <w:rPr>
          <w:sz w:val="20"/>
        </w:rPr>
        <w:t xml:space="preserve">Токарь на станках с числовым</w:t>
      </w:r>
    </w:p>
    <w:p>
      <w:pPr>
        <w:pStyle w:val="0"/>
        <w:jc w:val="right"/>
      </w:pPr>
      <w:r>
        <w:rPr>
          <w:sz w:val="20"/>
        </w:rPr>
        <w:t xml:space="preserve">программным управлением</w:t>
      </w:r>
    </w:p>
    <w:p>
      <w:pPr>
        <w:pStyle w:val="0"/>
        <w:jc w:val="both"/>
      </w:pPr>
      <w:r>
        <w:rPr>
          <w:sz w:val="20"/>
        </w:rPr>
      </w:r>
    </w:p>
    <w:bookmarkStart w:id="243" w:name="P243"/>
    <w:bookmarkEnd w:id="243"/>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15.01.33 ТОКАРЬ НА СТАНКАХ</w:t>
      </w:r>
    </w:p>
    <w:p>
      <w:pPr>
        <w:pStyle w:val="2"/>
        <w:jc w:val="center"/>
      </w:pPr>
      <w:r>
        <w:rPr>
          <w:sz w:val="20"/>
        </w:rPr>
        <w:t xml:space="preserve">С ЧИСЛОВЫМ ПРОГРАММНЫМ УПРАВЛЕНИЕМ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02"/>
        <w:gridCol w:w="6669"/>
      </w:tblGrid>
      <w:tr>
        <w:tc>
          <w:tcPr>
            <w:tcW w:w="2402" w:type="dxa"/>
          </w:tcPr>
          <w:p>
            <w:pPr>
              <w:pStyle w:val="0"/>
              <w:jc w:val="center"/>
            </w:pPr>
            <w:r>
              <w:rPr>
                <w:sz w:val="20"/>
              </w:rPr>
              <w:t xml:space="preserve">Код профессионального стандарта</w:t>
            </w:r>
          </w:p>
        </w:tc>
        <w:tc>
          <w:tcPr>
            <w:tcW w:w="6669" w:type="dxa"/>
          </w:tcPr>
          <w:p>
            <w:pPr>
              <w:pStyle w:val="0"/>
              <w:jc w:val="center"/>
            </w:pPr>
            <w:r>
              <w:rPr>
                <w:sz w:val="20"/>
              </w:rPr>
              <w:t xml:space="preserve">Наименование профессионального стандарта</w:t>
            </w:r>
          </w:p>
        </w:tc>
      </w:tr>
      <w:tr>
        <w:tc>
          <w:tcPr>
            <w:tcW w:w="2402" w:type="dxa"/>
          </w:tcPr>
          <w:p>
            <w:pPr>
              <w:pStyle w:val="0"/>
            </w:pPr>
            <w:r>
              <w:rPr>
                <w:sz w:val="20"/>
              </w:rPr>
              <w:t xml:space="preserve">40.078</w:t>
            </w:r>
          </w:p>
        </w:tc>
        <w:tc>
          <w:tcPr>
            <w:tcW w:w="6669" w:type="dxa"/>
          </w:tcPr>
          <w:p>
            <w:pPr>
              <w:pStyle w:val="0"/>
              <w:jc w:val="both"/>
            </w:pPr>
            <w:r>
              <w:rPr>
                <w:sz w:val="20"/>
              </w:rPr>
              <w:t xml:space="preserve">Профессиональный </w:t>
            </w:r>
            <w:hyperlink w:history="0" r:id="rId28" w:tooltip="Приказ Минтруда России от 25.12.2014 N 1128н &quot;Об утверждении профессионального стандарта &quot;Токарь&quot; (Зарегистрировано в Минюсте России 04.02.2015 N 35869) ------------ Утратил силу или отменен {КонсультантПлюс}">
              <w:r>
                <w:rPr>
                  <w:sz w:val="20"/>
                  <w:color w:val="0000ff"/>
                </w:rPr>
                <w:t xml:space="preserve">стандарт</w:t>
              </w:r>
            </w:hyperlink>
            <w:r>
              <w:rPr>
                <w:sz w:val="20"/>
              </w:rPr>
              <w:t xml:space="preserve"> "Токарь", утвержден приказом Министерства труда и социальной защиты Российской Федерации от 25 декабря 2014 г. N 1128н (зарегистрирован Министерством юстиции Российской Федерации 4 февраля 2015 г., регистрационный N 35869)</w:t>
            </w:r>
          </w:p>
        </w:tc>
      </w:tr>
      <w:tr>
        <w:tc>
          <w:tcPr>
            <w:tcW w:w="2402" w:type="dxa"/>
          </w:tcPr>
          <w:p>
            <w:pPr>
              <w:pStyle w:val="0"/>
            </w:pPr>
            <w:r>
              <w:rPr>
                <w:sz w:val="20"/>
              </w:rPr>
              <w:t xml:space="preserve">40.128</w:t>
            </w:r>
          </w:p>
        </w:tc>
        <w:tc>
          <w:tcPr>
            <w:tcW w:w="6669" w:type="dxa"/>
          </w:tcPr>
          <w:p>
            <w:pPr>
              <w:pStyle w:val="0"/>
              <w:jc w:val="both"/>
            </w:pPr>
            <w:r>
              <w:rPr>
                <w:sz w:val="20"/>
              </w:rPr>
              <w:t xml:space="preserve">Профессиональный </w:t>
            </w:r>
            <w:hyperlink w:history="0" r:id="rId29" w:tooltip="Приказ Минтруда России от 28.12.2015 N 1168н &quot;Об утверждении профессионального стандарта &quot;Токарь-карусельщик&quot; (Зарегистрировано в Минюсте России 28.01.2016 N 40854) ------------ Утратил силу или отменен {КонсультантПлюс}">
              <w:r>
                <w:rPr>
                  <w:sz w:val="20"/>
                  <w:color w:val="0000ff"/>
                </w:rPr>
                <w:t xml:space="preserve">стандарт</w:t>
              </w:r>
            </w:hyperlink>
            <w:r>
              <w:rPr>
                <w:sz w:val="20"/>
              </w:rPr>
              <w:t xml:space="preserve"> "Токарь-карусельщик", утвержден приказом Министерства труда и социальной защиты Российской Федерации от 28 декабря 2015 г. N 1168н (зарегистрирован Министерством юстиции Российской Федерации 28 января 2016 г., регистрационный N 40854)</w:t>
            </w:r>
          </w:p>
        </w:tc>
      </w:tr>
      <w:tr>
        <w:tc>
          <w:tcPr>
            <w:tcW w:w="2402" w:type="dxa"/>
          </w:tcPr>
          <w:p>
            <w:pPr>
              <w:pStyle w:val="0"/>
            </w:pPr>
            <w:r>
              <w:rPr>
                <w:sz w:val="20"/>
              </w:rPr>
              <w:t xml:space="preserve">40.129</w:t>
            </w:r>
          </w:p>
        </w:tc>
        <w:tc>
          <w:tcPr>
            <w:tcW w:w="6669" w:type="dxa"/>
          </w:tcPr>
          <w:p>
            <w:pPr>
              <w:pStyle w:val="0"/>
              <w:jc w:val="both"/>
            </w:pPr>
            <w:r>
              <w:rPr>
                <w:sz w:val="20"/>
              </w:rPr>
              <w:t xml:space="preserve">Профессиональный </w:t>
            </w:r>
            <w:hyperlink w:history="0" r:id="rId30" w:tooltip="Приказ Минтруда России от 24.12.2015 N 1138н &quot;Об утверждении профессионального стандарта &quot;Токарь-расточник&quot; (Зарегистрировано в Минюсте России 28.01.2016 N 40835) ------------ Утратил силу или отменен {КонсультантПлюс}">
              <w:r>
                <w:rPr>
                  <w:sz w:val="20"/>
                  <w:color w:val="0000ff"/>
                </w:rPr>
                <w:t xml:space="preserve">стандарт</w:t>
              </w:r>
            </w:hyperlink>
            <w:r>
              <w:rPr>
                <w:sz w:val="20"/>
              </w:rPr>
              <w:t xml:space="preserve"> "Токарь-расточник", утвержден приказом Министерства труда и социальной защиты Российской Федерации от 24 декабря 2015 г. N 1138н (зарегистрирован Министерством юстиции Российской Федерации 28 января 2016 г., регистрационный N 40835)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 15.01.33</w:t>
      </w:r>
    </w:p>
    <w:p>
      <w:pPr>
        <w:pStyle w:val="0"/>
        <w:jc w:val="right"/>
      </w:pPr>
      <w:r>
        <w:rPr>
          <w:sz w:val="20"/>
        </w:rPr>
        <w:t xml:space="preserve">Токарь на станках с числовым</w:t>
      </w:r>
    </w:p>
    <w:p>
      <w:pPr>
        <w:pStyle w:val="0"/>
        <w:jc w:val="right"/>
      </w:pPr>
      <w:r>
        <w:rPr>
          <w:sz w:val="20"/>
        </w:rPr>
        <w:t xml:space="preserve">программным управлением</w:t>
      </w:r>
    </w:p>
    <w:p>
      <w:pPr>
        <w:pStyle w:val="0"/>
        <w:jc w:val="both"/>
      </w:pPr>
      <w:r>
        <w:rPr>
          <w:sz w:val="20"/>
        </w:rPr>
      </w:r>
    </w:p>
    <w:bookmarkStart w:id="268" w:name="P268"/>
    <w:bookmarkEnd w:id="26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15.01.33 ТОКАРЬ НА СТАНКАХ</w:t>
      </w:r>
    </w:p>
    <w:p>
      <w:pPr>
        <w:pStyle w:val="2"/>
        <w:jc w:val="center"/>
      </w:pPr>
      <w:r>
        <w:rPr>
          <w:sz w:val="20"/>
        </w:rPr>
        <w:t xml:space="preserve">С ЧИСЛОВЫМ ПРОГРАММНЫМ УПРАВЛЕНИЕМ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2"/>
        <w:gridCol w:w="6129"/>
      </w:tblGrid>
      <w:tr>
        <w:tc>
          <w:tcPr>
            <w:tcW w:w="2942" w:type="dxa"/>
          </w:tcPr>
          <w:p>
            <w:pPr>
              <w:pStyle w:val="0"/>
              <w:jc w:val="center"/>
            </w:pPr>
            <w:r>
              <w:rPr>
                <w:sz w:val="20"/>
              </w:rPr>
              <w:t xml:space="preserve">Основной вид деятельности</w:t>
            </w:r>
          </w:p>
        </w:tc>
        <w:tc>
          <w:tcPr>
            <w:tcW w:w="6129" w:type="dxa"/>
          </w:tcPr>
          <w:p>
            <w:pPr>
              <w:pStyle w:val="0"/>
              <w:jc w:val="center"/>
            </w:pPr>
            <w:r>
              <w:rPr>
                <w:sz w:val="20"/>
              </w:rPr>
              <w:t xml:space="preserve">Требования к знаниям, умениям, практическому опыту</w:t>
            </w:r>
          </w:p>
        </w:tc>
      </w:tr>
      <w:tr>
        <w:tc>
          <w:tcPr>
            <w:tcW w:w="2942" w:type="dxa"/>
          </w:tcPr>
          <w:p>
            <w:pPr>
              <w:pStyle w:val="0"/>
              <w:jc w:val="both"/>
            </w:pPr>
            <w:r>
              <w:rPr>
                <w:sz w:val="20"/>
              </w:rPr>
              <w:t xml:space="preserve">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6129" w:type="dxa"/>
          </w:tcPr>
          <w:p>
            <w:pPr>
              <w:pStyle w:val="0"/>
              <w:jc w:val="both"/>
            </w:pPr>
            <w:r>
              <w:rPr>
                <w:sz w:val="20"/>
              </w:rPr>
              <w:t xml:space="preserve">знать:</w:t>
            </w:r>
          </w:p>
          <w:p>
            <w:pPr>
              <w:pStyle w:val="0"/>
              <w:ind w:firstLine="283"/>
              <w:jc w:val="both"/>
            </w:pPr>
            <w:r>
              <w:rPr>
                <w:sz w:val="20"/>
              </w:rPr>
              <w:t xml:space="preserve">правила подготовки к работе и содержания рабочих мест токаря,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конструктивные особенности, правила управления, подналадки и проверки на точность токарных станков различных типов;</w:t>
            </w:r>
          </w:p>
          <w:p>
            <w:pPr>
              <w:pStyle w:val="0"/>
              <w:ind w:firstLine="283"/>
              <w:jc w:val="both"/>
            </w:pPr>
            <w:r>
              <w:rPr>
                <w:sz w:val="20"/>
              </w:rPr>
              <w:t xml:space="preserve">устройство, правила применения, проверки на точность универсальных и специальных приспособлений, контрольно-измерительных инструментов;</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перемещения грузов и эксплуатации специальных транспортных и грузовых средств;</w:t>
            </w:r>
          </w:p>
          <w:p>
            <w:pPr>
              <w:pStyle w:val="0"/>
              <w:ind w:firstLine="283"/>
              <w:jc w:val="both"/>
            </w:pPr>
            <w:r>
              <w:rPr>
                <w:sz w:val="20"/>
              </w:rPr>
              <w:t xml:space="preserve">правила проведения и технологию проверки качества выполненных работ.</w:t>
            </w:r>
          </w:p>
          <w:p>
            <w:pPr>
              <w:pStyle w:val="0"/>
              <w:jc w:val="both"/>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устанавливать оптимальный режим токарной обработки в соответствии с технологической картой;</w:t>
            </w:r>
          </w:p>
          <w:p>
            <w:pPr>
              <w:pStyle w:val="0"/>
              <w:ind w:firstLine="283"/>
              <w:jc w:val="both"/>
            </w:pPr>
            <w:r>
              <w:rPr>
                <w:sz w:val="20"/>
              </w:rPr>
              <w:t xml:space="preserve">осуществлять токарную обработку деталей средней сложности на универсальных и специализированных станках, в том числе на крупногабаритных и многосуппортных.</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обслуживании рабочего места токаря;</w:t>
            </w:r>
          </w:p>
          <w:p>
            <w:pPr>
              <w:pStyle w:val="0"/>
              <w:ind w:firstLine="283"/>
              <w:jc w:val="both"/>
            </w:pPr>
            <w:r>
              <w:rPr>
                <w:sz w:val="20"/>
              </w:rPr>
              <w:t xml:space="preserve">подготовке к использованию инструмента и оснастки для работы на токарных станках в соответствии с полученным заданием;</w:t>
            </w:r>
          </w:p>
          <w:p>
            <w:pPr>
              <w:pStyle w:val="0"/>
              <w:ind w:firstLine="283"/>
              <w:jc w:val="both"/>
            </w:pPr>
            <w:r>
              <w:rPr>
                <w:sz w:val="20"/>
              </w:rPr>
              <w:t xml:space="preserve">определении последовательности и оптимального режима обработки различных изделий на токарных станках в соответствии с заданием;</w:t>
            </w:r>
          </w:p>
          <w:p>
            <w:pPr>
              <w:pStyle w:val="0"/>
              <w:ind w:firstLine="283"/>
              <w:jc w:val="both"/>
            </w:pPr>
            <w:r>
              <w:rPr>
                <w:sz w:val="20"/>
              </w:rPr>
              <w:t xml:space="preserve">осуществлении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tc>
          <w:tcPr>
            <w:tcW w:w="2942" w:type="dxa"/>
          </w:tcPr>
          <w:p>
            <w:pPr>
              <w:pStyle w:val="0"/>
              <w:jc w:val="both"/>
            </w:pPr>
            <w:r>
              <w:rPr>
                <w:sz w:val="20"/>
              </w:rPr>
              <w:t xml:space="preserve">Изготовление изделий на токарно-карусельных станках по стадиям технологического процесса в соответствии с требованиями охраны труда и экологической безопасности</w:t>
            </w:r>
          </w:p>
        </w:tc>
        <w:tc>
          <w:tcPr>
            <w:tcW w:w="6129" w:type="dxa"/>
          </w:tcPr>
          <w:p>
            <w:pPr>
              <w:pStyle w:val="0"/>
              <w:jc w:val="both"/>
            </w:pPr>
            <w:r>
              <w:rPr>
                <w:sz w:val="20"/>
              </w:rPr>
              <w:t xml:space="preserve">знать:</w:t>
            </w:r>
          </w:p>
          <w:p>
            <w:pPr>
              <w:pStyle w:val="0"/>
              <w:ind w:firstLine="283"/>
              <w:jc w:val="both"/>
            </w:pPr>
            <w:r>
              <w:rPr>
                <w:sz w:val="20"/>
              </w:rPr>
              <w:t xml:space="preserve">правила подготовки к работе и содержания рабочих мест токаря-карусельщика,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конструктивные особенности, правила управления, подналадки и проверки на точность токарно-карусельных станков различных типов;</w:t>
            </w:r>
          </w:p>
          <w:p>
            <w:pPr>
              <w:pStyle w:val="0"/>
              <w:ind w:firstLine="283"/>
              <w:jc w:val="both"/>
            </w:pPr>
            <w:r>
              <w:rPr>
                <w:sz w:val="20"/>
              </w:rPr>
              <w:t xml:space="preserve">устройство, правила применения, проверки на точность универсальных и специальных приспособлений, контрольно-измерительных инструментов;</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проведения и технологию проверки качества выполненных работ;</w:t>
            </w:r>
          </w:p>
          <w:p>
            <w:pPr>
              <w:pStyle w:val="0"/>
              <w:jc w:val="both"/>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устанавливать оптимальный режим токарно-карусельной обработки в соответствии с технологической картой;</w:t>
            </w:r>
          </w:p>
          <w:p>
            <w:pPr>
              <w:pStyle w:val="0"/>
              <w:ind w:firstLine="283"/>
              <w:jc w:val="both"/>
            </w:pPr>
            <w:r>
              <w:rPr>
                <w:sz w:val="20"/>
              </w:rPr>
              <w:t xml:space="preserve">осуществлять токарную обработку деталей и изделий средней сложности на токарно-карусельных станках.</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обслуживания рабочего места токаря;</w:t>
            </w:r>
          </w:p>
          <w:p>
            <w:pPr>
              <w:pStyle w:val="0"/>
              <w:ind w:firstLine="283"/>
              <w:jc w:val="both"/>
            </w:pPr>
            <w:r>
              <w:rPr>
                <w:sz w:val="20"/>
              </w:rPr>
              <w:t xml:space="preserve">подготовке к использованию инструмента и оснастки для работы на токарных станках в соответствии с полученным заданием;</w:t>
            </w:r>
          </w:p>
          <w:p>
            <w:pPr>
              <w:pStyle w:val="0"/>
              <w:ind w:firstLine="283"/>
              <w:jc w:val="both"/>
            </w:pPr>
            <w:r>
              <w:rPr>
                <w:sz w:val="20"/>
              </w:rPr>
              <w:t xml:space="preserve">определении последовательности и оптимального режима обработки различных изделий на токарных станках в соответствии с заданием;</w:t>
            </w:r>
          </w:p>
          <w:p>
            <w:pPr>
              <w:pStyle w:val="0"/>
              <w:ind w:firstLine="283"/>
              <w:jc w:val="both"/>
            </w:pPr>
            <w:r>
              <w:rPr>
                <w:sz w:val="20"/>
              </w:rPr>
              <w:t xml:space="preserve">осуществлении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tc>
          <w:tcPr>
            <w:tcW w:w="2942" w:type="dxa"/>
          </w:tcPr>
          <w:p>
            <w:pPr>
              <w:pStyle w:val="0"/>
              <w:jc w:val="both"/>
            </w:pPr>
            <w:r>
              <w:rPr>
                <w:sz w:val="20"/>
              </w:rPr>
              <w:t xml:space="preserve">Изготовление изделий на токарно-расточных станках по стадиям технологического процесса в соответствии с требованиями охраны труда и экологической безопасности</w:t>
            </w:r>
          </w:p>
        </w:tc>
        <w:tc>
          <w:tcPr>
            <w:tcW w:w="6129" w:type="dxa"/>
          </w:tcPr>
          <w:p>
            <w:pPr>
              <w:pStyle w:val="0"/>
              <w:jc w:val="both"/>
            </w:pPr>
            <w:r>
              <w:rPr>
                <w:sz w:val="20"/>
              </w:rPr>
              <w:t xml:space="preserve">знать:</w:t>
            </w:r>
          </w:p>
          <w:p>
            <w:pPr>
              <w:pStyle w:val="0"/>
              <w:ind w:firstLine="283"/>
              <w:jc w:val="both"/>
            </w:pPr>
            <w:r>
              <w:rPr>
                <w:sz w:val="20"/>
              </w:rPr>
              <w:t xml:space="preserve">правила подготовки к работе и содержания рабочих мест токаря-расточника,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конструктивные особенности, правила управления, подналадки и проверки на точность токарно-расточных станков различных типов;</w:t>
            </w:r>
          </w:p>
          <w:p>
            <w:pPr>
              <w:pStyle w:val="0"/>
              <w:ind w:firstLine="283"/>
              <w:jc w:val="both"/>
            </w:pPr>
            <w:r>
              <w:rPr>
                <w:sz w:val="20"/>
              </w:rPr>
              <w:t xml:space="preserve">устройство, правила применения, проверки на точность универсальных и специальных приспособлений, контрольно-измерительных инструментов;</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перемещения грузов и эксплуатации специальных транспортных и грузовых средств;</w:t>
            </w:r>
          </w:p>
          <w:p>
            <w:pPr>
              <w:pStyle w:val="0"/>
              <w:ind w:firstLine="283"/>
              <w:jc w:val="both"/>
            </w:pPr>
            <w:r>
              <w:rPr>
                <w:sz w:val="20"/>
              </w:rPr>
              <w:t xml:space="preserve">правила проведения и технологию проверки качества выполненных работ;</w:t>
            </w:r>
          </w:p>
          <w:p>
            <w:pPr>
              <w:pStyle w:val="0"/>
              <w:jc w:val="both"/>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токаря-расточника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устанавливать оптимальный режим токарно-расточной обработки в соответствии с технологической картой;</w:t>
            </w:r>
          </w:p>
          <w:p>
            <w:pPr>
              <w:pStyle w:val="0"/>
              <w:ind w:firstLine="283"/>
              <w:jc w:val="both"/>
            </w:pPr>
            <w:r>
              <w:rPr>
                <w:sz w:val="20"/>
              </w:rPr>
              <w:t xml:space="preserve">обрабатывать заготовки и детали средней сложности на токарно-расточных станках.</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обслуживании рабочего места токаря-расточника;</w:t>
            </w:r>
          </w:p>
          <w:p>
            <w:pPr>
              <w:pStyle w:val="0"/>
              <w:ind w:firstLine="283"/>
              <w:jc w:val="both"/>
            </w:pPr>
            <w:r>
              <w:rPr>
                <w:sz w:val="20"/>
              </w:rPr>
              <w:t xml:space="preserve">подготовке к использованию инструмента и оснастки для работы на токарно-расточных станках в соответствии с полученным заданием;</w:t>
            </w:r>
          </w:p>
          <w:p>
            <w:pPr>
              <w:pStyle w:val="0"/>
              <w:ind w:firstLine="283"/>
              <w:jc w:val="both"/>
            </w:pPr>
            <w:r>
              <w:rPr>
                <w:sz w:val="20"/>
              </w:rPr>
              <w:t xml:space="preserve">определении последовательности и оптимального режима обработки различных изделий на токарно-расточных станках в соответствии с заданием;</w:t>
            </w:r>
          </w:p>
          <w:p>
            <w:pPr>
              <w:pStyle w:val="0"/>
              <w:ind w:firstLine="283"/>
              <w:jc w:val="both"/>
            </w:pPr>
            <w:r>
              <w:rPr>
                <w:sz w:val="20"/>
              </w:rPr>
              <w:t xml:space="preserve">осуществлении технологического процесса, обработке детали на токарно-расточных станках с соблюдением требований к качеству, в соответствии с заданием и технической документацией.</w:t>
            </w:r>
          </w:p>
        </w:tc>
      </w:tr>
      <w:tr>
        <w:tc>
          <w:tcPr>
            <w:tcW w:w="2942" w:type="dxa"/>
          </w:tcPr>
          <w:p>
            <w:pPr>
              <w:pStyle w:val="0"/>
              <w:jc w:val="both"/>
            </w:pPr>
            <w:r>
              <w:rPr>
                <w:sz w:val="20"/>
              </w:rPr>
              <w:t xml:space="preserve">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c>
          <w:tcPr>
            <w:tcW w:w="6129" w:type="dxa"/>
          </w:tcPr>
          <w:p>
            <w:pPr>
              <w:pStyle w:val="0"/>
              <w:jc w:val="both"/>
            </w:pPr>
            <w:r>
              <w:rPr>
                <w:sz w:val="20"/>
              </w:rPr>
              <w:t xml:space="preserve">знать:</w:t>
            </w:r>
          </w:p>
          <w:p>
            <w:pPr>
              <w:pStyle w:val="0"/>
              <w:ind w:firstLine="283"/>
              <w:jc w:val="both"/>
            </w:pPr>
            <w:r>
              <w:rPr>
                <w:sz w:val="20"/>
              </w:rPr>
              <w:t xml:space="preserve">правила подготовки к работе и содержания рабочих мест токаря-револьверщика,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конструктивные особенности, правила управления, подналадки и проверки на точность токарно-револьверных станков различных типов;</w:t>
            </w:r>
          </w:p>
          <w:p>
            <w:pPr>
              <w:pStyle w:val="0"/>
              <w:ind w:firstLine="283"/>
              <w:jc w:val="both"/>
            </w:pPr>
            <w:r>
              <w:rPr>
                <w:sz w:val="20"/>
              </w:rPr>
              <w:t xml:space="preserve">устройство, правила применения, проверки на точность универсальных и специальных приспособлений, контрольно-измерительных инструментов;</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проведения и технологию проверки качества выполненных работ;</w:t>
            </w:r>
          </w:p>
          <w:p>
            <w:pPr>
              <w:pStyle w:val="0"/>
              <w:jc w:val="both"/>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токаря-револьверщика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устанавливать оптимальный режим токарно-револьверной обработки в соответствии с технологической картой;</w:t>
            </w:r>
          </w:p>
          <w:p>
            <w:pPr>
              <w:pStyle w:val="0"/>
              <w:ind w:firstLine="283"/>
              <w:jc w:val="both"/>
            </w:pPr>
            <w:r>
              <w:rPr>
                <w:sz w:val="20"/>
              </w:rPr>
              <w:t xml:space="preserve">осуществлять токарно-револьверную обработку деталей</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обслуживании рабочего места токаря-револьверщика;</w:t>
            </w:r>
          </w:p>
          <w:p>
            <w:pPr>
              <w:pStyle w:val="0"/>
              <w:ind w:firstLine="283"/>
              <w:jc w:val="both"/>
            </w:pPr>
            <w:r>
              <w:rPr>
                <w:sz w:val="20"/>
              </w:rPr>
              <w:t xml:space="preserve">подготовке к использованию инструмента и оснастки для работы на токарно-револьверных станках в соответствии с полученным заданием;</w:t>
            </w:r>
          </w:p>
          <w:p>
            <w:pPr>
              <w:pStyle w:val="0"/>
              <w:ind w:firstLine="283"/>
              <w:jc w:val="both"/>
            </w:pPr>
            <w:r>
              <w:rPr>
                <w:sz w:val="20"/>
              </w:rPr>
              <w:t xml:space="preserve">определении последовательности и оптимального режима обработки различных изделий на токарно-револьверных станках в соответствии с заданием;</w:t>
            </w:r>
          </w:p>
          <w:p>
            <w:pPr>
              <w:pStyle w:val="0"/>
              <w:ind w:firstLine="283"/>
              <w:jc w:val="both"/>
            </w:pPr>
            <w:r>
              <w:rPr>
                <w:sz w:val="20"/>
              </w:rPr>
              <w:t xml:space="preserve">обработке деталей на токарно-револьверных станках с соблюдением требований к качеству, в соответствии с заданием и технической документацией.</w:t>
            </w:r>
          </w:p>
        </w:tc>
      </w:tr>
      <w:tr>
        <w:tc>
          <w:tcPr>
            <w:tcW w:w="2942" w:type="dxa"/>
          </w:tcPr>
          <w:p>
            <w:pPr>
              <w:pStyle w:val="0"/>
              <w:jc w:val="both"/>
            </w:pPr>
            <w:r>
              <w:rPr>
                <w:sz w:val="20"/>
              </w:rPr>
              <w:t xml:space="preserve">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6129" w:type="dxa"/>
          </w:tcPr>
          <w:p>
            <w:pPr>
              <w:pStyle w:val="0"/>
              <w:jc w:val="both"/>
            </w:pPr>
            <w:r>
              <w:rPr>
                <w:sz w:val="20"/>
              </w:rPr>
              <w:t xml:space="preserve">знать:</w:t>
            </w:r>
          </w:p>
          <w:p>
            <w:pPr>
              <w:pStyle w:val="0"/>
              <w:ind w:firstLine="283"/>
              <w:jc w:val="both"/>
            </w:pPr>
            <w:r>
              <w:rPr>
                <w:sz w:val="20"/>
              </w:rPr>
              <w:t xml:space="preserve">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устройство, принципы работы и правила подналадки токарных станков с числовым программным управлением;</w:t>
            </w:r>
          </w:p>
          <w:p>
            <w:pPr>
              <w:pStyle w:val="0"/>
              <w:ind w:firstLine="283"/>
              <w:jc w:val="both"/>
            </w:pPr>
            <w:r>
              <w:rPr>
                <w:sz w:val="20"/>
              </w:rPr>
              <w:t xml:space="preserve">наименование, назначение, устройство и правила применения приспособлений, режущего и измерительного инструмента;</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грузоподъемное оборудование, применяемое в металлообрабатывающих цехах;</w:t>
            </w:r>
          </w:p>
          <w:p>
            <w:pPr>
              <w:pStyle w:val="0"/>
              <w:ind w:firstLine="283"/>
              <w:jc w:val="both"/>
            </w:pPr>
            <w:r>
              <w:rPr>
                <w:sz w:val="20"/>
              </w:rPr>
              <w:t xml:space="preserve">правила выбора управляющих программ для решения поставленной технологической задачи (операции);</w:t>
            </w:r>
          </w:p>
          <w:p>
            <w:pPr>
              <w:pStyle w:val="0"/>
              <w:ind w:firstLine="283"/>
              <w:jc w:val="both"/>
            </w:pPr>
            <w:r>
              <w:rPr>
                <w:sz w:val="20"/>
              </w:rPr>
              <w:t xml:space="preserve">основные направления автоматизации производственных процессов;</w:t>
            </w:r>
          </w:p>
          <w:p>
            <w:pPr>
              <w:pStyle w:val="0"/>
              <w:ind w:firstLine="283"/>
              <w:jc w:val="both"/>
            </w:pPr>
            <w:r>
              <w:rPr>
                <w:sz w:val="20"/>
              </w:rPr>
              <w:t xml:space="preserve">системы программного управления станками;</w:t>
            </w:r>
          </w:p>
          <w:p>
            <w:pPr>
              <w:pStyle w:val="0"/>
              <w:ind w:firstLine="283"/>
              <w:jc w:val="both"/>
            </w:pPr>
            <w:r>
              <w:rPr>
                <w:sz w:val="20"/>
              </w:rPr>
              <w:t xml:space="preserve">организацию работ при многостаночном обслуживании станков с программным управлением;</w:t>
            </w:r>
          </w:p>
          <w:p>
            <w:pPr>
              <w:pStyle w:val="0"/>
              <w:ind w:firstLine="283"/>
              <w:jc w:val="both"/>
            </w:pPr>
            <w:r>
              <w:rPr>
                <w:sz w:val="20"/>
              </w:rPr>
              <w:t xml:space="preserve">правила проведения и технологию проверки качества выполненных работ;</w:t>
            </w:r>
          </w:p>
          <w:p>
            <w:pPr>
              <w:pStyle w:val="0"/>
              <w:jc w:val="both"/>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выполнять подналадку отдельных узлов и механизмов в процессе работы;</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составлять технологический процесс обработки деталей, изделий; отрабатывать управляющие программы на станке;</w:t>
            </w:r>
          </w:p>
          <w:p>
            <w:pPr>
              <w:pStyle w:val="0"/>
              <w:ind w:firstLine="283"/>
              <w:jc w:val="both"/>
            </w:pPr>
            <w:r>
              <w:rPr>
                <w:sz w:val="20"/>
              </w:rPr>
              <w:t xml:space="preserve">корректировать управляющую программу на основе анализа входных данных, технологической и конструкторской документации;</w:t>
            </w:r>
          </w:p>
          <w:p>
            <w:pPr>
              <w:pStyle w:val="0"/>
              <w:ind w:firstLine="283"/>
              <w:jc w:val="both"/>
            </w:pPr>
            <w:r>
              <w:rPr>
                <w:sz w:val="20"/>
              </w:rPr>
              <w:t xml:space="preserve">проводить проверку управляющих программ средствами вычислительной техники;</w:t>
            </w:r>
          </w:p>
          <w:p>
            <w:pPr>
              <w:pStyle w:val="0"/>
              <w:ind w:firstLine="283"/>
              <w:jc w:val="both"/>
            </w:pPr>
            <w:r>
              <w:rPr>
                <w:sz w:val="20"/>
              </w:rPr>
              <w:t xml:space="preserve">выполнять технологические операции при изготовлении детали на токарных станках с числовым программным управлением;</w:t>
            </w:r>
          </w:p>
          <w:p>
            <w:pPr>
              <w:pStyle w:val="0"/>
              <w:ind w:firstLine="283"/>
              <w:jc w:val="both"/>
            </w:pPr>
            <w:r>
              <w:rPr>
                <w:sz w:val="20"/>
              </w:rPr>
              <w:t xml:space="preserve">выполнять контрольные операции над работой механизмов и обеспечение бесперебойной работы оборудования станка с числовым программным управлением;</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обслуживании рабочего места оператора токарного станка с числовым программным управлением;</w:t>
            </w:r>
          </w:p>
          <w:p>
            <w:pPr>
              <w:pStyle w:val="0"/>
              <w:ind w:firstLine="283"/>
              <w:jc w:val="both"/>
            </w:pPr>
            <w:r>
              <w:rPr>
                <w:sz w:val="20"/>
              </w:rPr>
              <w:t xml:space="preserve">подготовке к использованию инструмента и оснастки для работы на токарных станках с числовым программным управлением в соответствии с полученным заданием;</w:t>
            </w:r>
          </w:p>
          <w:p>
            <w:pPr>
              <w:pStyle w:val="0"/>
              <w:ind w:firstLine="283"/>
              <w:jc w:val="both"/>
            </w:pPr>
            <w:r>
              <w:rPr>
                <w:sz w:val="20"/>
              </w:rPr>
              <w:t xml:space="preserve">адаптации стандартных управляющих программ на основе анализа входных данных, технологической и конструкторской документации в соответствии с заданием;</w:t>
            </w:r>
          </w:p>
          <w:p>
            <w:pPr>
              <w:pStyle w:val="0"/>
              <w:ind w:firstLine="283"/>
              <w:jc w:val="both"/>
            </w:pPr>
            <w:r>
              <w:rPr>
                <w:sz w:val="20"/>
              </w:rPr>
              <w:t xml:space="preserve">обработке деталей на токарных станках с числовым программным управлением с соблюдением требований к качеству в соответствии с заданием и технической документацией.</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1544</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F684E408C5EE823A33399C815901E5C05A3A63C2198DB66494EC2EBBD3822CB81E6653A84FFA6715504B3D5A963A4CAD4B1BDD6D36D3FA7DEj2O" TargetMode = "External"/>
	<Relationship Id="rId8" Type="http://schemas.openxmlformats.org/officeDocument/2006/relationships/hyperlink" Target="consultantplus://offline/ref=BF684E408C5EE823A33399C815901E5C02A6AA322796DB66494EC2EBBD3822CB81E6653A84FBA2735A04B3D5A963A4CAD4B1BDD6D36D3FA7DEj2O" TargetMode = "External"/>
	<Relationship Id="rId9" Type="http://schemas.openxmlformats.org/officeDocument/2006/relationships/hyperlink" Target="consultantplus://offline/ref=BF684E408C5EE823A33399C815901E5C04ACA5322497DB66494EC2EBBD3822CB81E6653A84FFA7765004B3D5A963A4CAD4B1BDD6D36D3FA7DEj2O" TargetMode = "External"/>
	<Relationship Id="rId10" Type="http://schemas.openxmlformats.org/officeDocument/2006/relationships/hyperlink" Target="consultantplus://offline/ref=BF684E408C5EE823A33399C815901E5C07A3A434249FDB66494EC2EBBD3822CB81E6653A84FFA7705504B3D5A963A4CAD4B1BDD6D36D3FA7DEj2O" TargetMode = "External"/>
	<Relationship Id="rId11" Type="http://schemas.openxmlformats.org/officeDocument/2006/relationships/hyperlink" Target="consultantplus://offline/ref=BF684E408C5EE823A33399C815901E5C05A3A63C2198DB66494EC2EBBD3822CB81E6653A84FFA6715504B3D5A963A4CAD4B1BDD6D36D3FA7DEj2O" TargetMode = "External"/>
	<Relationship Id="rId12" Type="http://schemas.openxmlformats.org/officeDocument/2006/relationships/hyperlink" Target="consultantplus://offline/ref=BF684E408C5EE823A33399C815901E5C02A6AA322796DB66494EC2EBBD3822CB81E6653A84FBA2735A04B3D5A963A4CAD4B1BDD6D36D3FA7DEj2O" TargetMode = "External"/>
	<Relationship Id="rId13" Type="http://schemas.openxmlformats.org/officeDocument/2006/relationships/hyperlink" Target="consultantplus://offline/ref=BF684E408C5EE823A33399C815901E5C04A5A633279FDB66494EC2EBBD3822CB81E6653A84FFA6735404B3D5A963A4CAD4B1BDD6D36D3FA7DEj2O" TargetMode = "External"/>
	<Relationship Id="rId14" Type="http://schemas.openxmlformats.org/officeDocument/2006/relationships/hyperlink" Target="consultantplus://offline/ref=BF684E408C5EE823A33399C815901E5C04A5A633279FDB66494EC2EBBD3822CB93E63D3685FCB9735011E584EFD3j4O" TargetMode = "External"/>
	<Relationship Id="rId15" Type="http://schemas.openxmlformats.org/officeDocument/2006/relationships/hyperlink" Target="consultantplus://offline/ref=BF684E408C5EE823A33399C815901E5C05A3A63C2198DB66494EC2EBBD3822CB81E6653A84FFA6715A04B3D5A963A4CAD4B1BDD6D36D3FA7DEj2O" TargetMode = "External"/>
	<Relationship Id="rId16" Type="http://schemas.openxmlformats.org/officeDocument/2006/relationships/hyperlink" Target="consultantplus://offline/ref=BF684E408C5EE823A33399C815901E5C02A7A1302699DB66494EC2EBBD3822CB81E6653A84FFA5765B04B3D5A963A4CAD4B1BDD6D36D3FA7DEj2O" TargetMode = "External"/>
	<Relationship Id="rId17" Type="http://schemas.openxmlformats.org/officeDocument/2006/relationships/hyperlink" Target="consultantplus://offline/ref=BF684E408C5EE823A33399C815901E5C02A6AA322796DB66494EC2EBBD3822CB81E6653A84FBA2735B04B3D5A963A4CAD4B1BDD6D36D3FA7DEj2O" TargetMode = "External"/>
	<Relationship Id="rId18" Type="http://schemas.openxmlformats.org/officeDocument/2006/relationships/hyperlink" Target="consultantplus://offline/ref=BF684E408C5EE823A33399C815901E5C05A3A533249DDB66494EC2EBBD3822CB81E6653A84FFA7735104B3D5A963A4CAD4B1BDD6D36D3FA7DEj2O" TargetMode = "External"/>
	<Relationship Id="rId19" Type="http://schemas.openxmlformats.org/officeDocument/2006/relationships/image" Target="media/image2.wmf"/>
	<Relationship Id="rId20" Type="http://schemas.openxmlformats.org/officeDocument/2006/relationships/hyperlink" Target="consultantplus://offline/ref=BF684E408C5EE823A33399C815901E5C05A3A63C2198DB66494EC2EBBD3822CB81E6653A84FFA6715B04B3D5A963A4CAD4B1BDD6D36D3FA7DEj2O" TargetMode = "External"/>
	<Relationship Id="rId21" Type="http://schemas.openxmlformats.org/officeDocument/2006/relationships/hyperlink" Target="consultantplus://offline/ref=BF684E408C5EE823A33399C815901E5C05A3A63C2198DB66494EC2EBBD3822CB81E6653A84FFA6765304B3D5A963A4CAD4B1BDD6D36D3FA7DEj2O" TargetMode = "External"/>
	<Relationship Id="rId22" Type="http://schemas.openxmlformats.org/officeDocument/2006/relationships/hyperlink" Target="consultantplus://offline/ref=BF684E408C5EE823A33399C815901E5C02A6AA322796DB66494EC2EBBD3822CB81E6653A84FBA2705404B3D5A963A4CAD4B1BDD6D36D3FA7DEj2O" TargetMode = "External"/>
	<Relationship Id="rId23" Type="http://schemas.openxmlformats.org/officeDocument/2006/relationships/hyperlink" Target="consultantplus://offline/ref=BF684E408C5EE823A33399C815901E5C02A6AA322796DB66494EC2EBBD3822CB81E6653A84FBA2765104B3D5A963A4CAD4B1BDD6D36D3FA7DEj2O" TargetMode = "External"/>
	<Relationship Id="rId24" Type="http://schemas.openxmlformats.org/officeDocument/2006/relationships/hyperlink" Target="consultantplus://offline/ref=BF684E408C5EE823A33399C815901E5C02A6AA322796DB66494EC2EBBD3822CB81E6653A84FBA2765704B3D5A963A4CAD4B1BDD6D36D3FA7DEj2O" TargetMode = "External"/>
	<Relationship Id="rId25" Type="http://schemas.openxmlformats.org/officeDocument/2006/relationships/hyperlink" Target="consultantplus://offline/ref=BF684E408C5EE823A33399C815901E5C02A7A1302699DB66494EC2EBBD3822CB93E63D3685FCB9735011E584EFD3j4O" TargetMode = "External"/>
	<Relationship Id="rId26" Type="http://schemas.openxmlformats.org/officeDocument/2006/relationships/hyperlink" Target="consultantplus://offline/ref=BF684E408C5EE823A33399C815901E5C02A6AA322796DB66494EC2EBBD3822CB81E6653A84FBA2775404B3D5A963A4CAD4B1BDD6D36D3FA7DEj2O" TargetMode = "External"/>
	<Relationship Id="rId27" Type="http://schemas.openxmlformats.org/officeDocument/2006/relationships/hyperlink" Target="consultantplus://offline/ref=BF684E408C5EE823A33399C815901E5C02A7A33C2D97DB66494EC2EBBD3822CB93E63D3685FCB9735011E584EFD3j4O" TargetMode = "External"/>
	<Relationship Id="rId28" Type="http://schemas.openxmlformats.org/officeDocument/2006/relationships/hyperlink" Target="consultantplus://offline/ref=BF684E408C5EE823A33399C815901E5C07A3A730209BDB66494EC2EBBD3822CB81E6653A84FFA7725B04B3D5A963A4CAD4B1BDD6D36D3FA7DEj2O" TargetMode = "External"/>
	<Relationship Id="rId29" Type="http://schemas.openxmlformats.org/officeDocument/2006/relationships/hyperlink" Target="consultantplus://offline/ref=BF684E408C5EE823A33399C815901E5C07ADA13C2C9DDB66494EC2EBBD3822CB81E6653A84FFA7725B04B3D5A963A4CAD4B1BDD6D36D3FA7DEj2O" TargetMode = "External"/>
	<Relationship Id="rId30" Type="http://schemas.openxmlformats.org/officeDocument/2006/relationships/hyperlink" Target="consultantplus://offline/ref=BF684E408C5EE823A33399C815901E5C07ADA132239ADB66494EC2EBBD3822CB81E6653A84FFA7725B04B3D5A963A4CAD4B1BDD6D36D3FA7DEj2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1544
(ред. от 01.09.2022)
"Об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
(Зарегистрировано в Минюсте России 26.12.2016 N 44977)</dc:title>
  <dcterms:created xsi:type="dcterms:W3CDTF">2022-12-13T14:35:02Z</dcterms:created>
</cp:coreProperties>
</file>