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75AB5117" w:rsidR="00DC0B5C" w:rsidRPr="001244AB" w:rsidRDefault="00DC0B5C" w:rsidP="00DC0B5C">
      <w:pPr>
        <w:keepNext/>
        <w:jc w:val="right"/>
        <w:outlineLvl w:val="0"/>
        <w:rPr>
          <w:rFonts w:ascii="Times New Roman" w:eastAsia="Times New Roman" w:hAnsi="Times New Roman" w:cs="Times New Roman"/>
          <w:b/>
          <w:bCs/>
          <w:kern w:val="32"/>
          <w:sz w:val="24"/>
          <w:szCs w:val="24"/>
          <w:lang w:eastAsia="x-none"/>
        </w:rPr>
      </w:pPr>
      <w:r w:rsidRPr="001244AB">
        <w:rPr>
          <w:rFonts w:ascii="Times New Roman" w:eastAsia="Times New Roman" w:hAnsi="Times New Roman" w:cs="Times New Roman"/>
          <w:b/>
          <w:bCs/>
          <w:kern w:val="32"/>
          <w:sz w:val="24"/>
          <w:szCs w:val="24"/>
          <w:lang w:eastAsia="x-none"/>
        </w:rPr>
        <w:t xml:space="preserve">к </w:t>
      </w:r>
      <w:r w:rsidR="006E2DA7" w:rsidRPr="001244AB">
        <w:rPr>
          <w:rFonts w:ascii="Times New Roman" w:eastAsia="Times New Roman" w:hAnsi="Times New Roman" w:cs="Times New Roman"/>
          <w:b/>
          <w:bCs/>
          <w:kern w:val="32"/>
          <w:sz w:val="24"/>
          <w:szCs w:val="24"/>
          <w:lang w:eastAsia="x-none"/>
        </w:rPr>
        <w:t>ПОП</w:t>
      </w:r>
      <w:r w:rsidR="00C32269" w:rsidRPr="001244AB">
        <w:rPr>
          <w:rFonts w:ascii="Times New Roman" w:eastAsia="Times New Roman" w:hAnsi="Times New Roman" w:cs="Times New Roman"/>
          <w:b/>
          <w:bCs/>
          <w:kern w:val="32"/>
          <w:sz w:val="24"/>
          <w:szCs w:val="24"/>
          <w:lang w:eastAsia="x-none"/>
        </w:rPr>
        <w:t xml:space="preserve"> по </w:t>
      </w:r>
      <w:bookmarkStart w:id="0" w:name="_Hlk147906861"/>
      <w:r w:rsidRPr="001244AB">
        <w:rPr>
          <w:rFonts w:ascii="Times New Roman" w:eastAsia="Times New Roman" w:hAnsi="Times New Roman" w:cs="Times New Roman"/>
          <w:b/>
          <w:bCs/>
          <w:kern w:val="32"/>
          <w:sz w:val="24"/>
          <w:szCs w:val="24"/>
          <w:lang w:eastAsia="x-none"/>
        </w:rPr>
        <w:t xml:space="preserve">специальности </w:t>
      </w:r>
      <w:r w:rsidR="00C32269" w:rsidRPr="001244AB">
        <w:rPr>
          <w:rFonts w:ascii="Times New Roman" w:eastAsia="Times New Roman" w:hAnsi="Times New Roman" w:cs="Times New Roman"/>
          <w:b/>
          <w:bCs/>
          <w:kern w:val="32"/>
          <w:sz w:val="24"/>
          <w:szCs w:val="24"/>
          <w:lang w:eastAsia="x-none"/>
        </w:rPr>
        <w:br/>
      </w:r>
      <w:bookmarkEnd w:id="0"/>
      <w:r w:rsidR="001244AB" w:rsidRPr="001244AB">
        <w:rPr>
          <w:rFonts w:ascii="Times New Roman" w:eastAsia="Times New Roman" w:hAnsi="Times New Roman" w:cs="Times New Roman"/>
          <w:b/>
          <w:bCs/>
          <w:kern w:val="32"/>
          <w:sz w:val="24"/>
          <w:szCs w:val="24"/>
          <w:lang w:eastAsia="x-none"/>
        </w:rPr>
        <w:t>25.02.10 Транспортная безопасность воздушного транспорта</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2ECDA8EA"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1244AB">
        <w:rPr>
          <w:rFonts w:ascii="Times New Roman" w:hAnsi="Times New Roman" w:cs="Times New Roman"/>
          <w:b/>
          <w:bCs/>
          <w:sz w:val="24"/>
          <w:szCs w:val="24"/>
        </w:rPr>
        <w:t>25</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45A9606E" w14:textId="32D28663" w:rsidR="00686D9F"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686D9F" w:rsidRPr="00EE2A47">
        <w:rPr>
          <w:rFonts w:eastAsia="Times New Roman"/>
          <w:lang w:eastAsia="zh-CN"/>
        </w:rPr>
        <w:t>Общие положения</w:t>
      </w:r>
      <w:r w:rsidR="00686D9F">
        <w:tab/>
      </w:r>
      <w:r w:rsidR="00686D9F">
        <w:fldChar w:fldCharType="begin"/>
      </w:r>
      <w:r w:rsidR="00686D9F">
        <w:instrText xml:space="preserve"> PAGEREF _Toc206576456 \h </w:instrText>
      </w:r>
      <w:r w:rsidR="00686D9F">
        <w:fldChar w:fldCharType="separate"/>
      </w:r>
      <w:r w:rsidR="00686D9F">
        <w:t>3</w:t>
      </w:r>
      <w:r w:rsidR="00686D9F">
        <w:fldChar w:fldCharType="end"/>
      </w:r>
    </w:p>
    <w:p w14:paraId="0DE53162" w14:textId="2364D7A4"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Примерные требования к проведению государственного экзамена</w:t>
      </w:r>
      <w:r>
        <w:tab/>
      </w:r>
      <w:r>
        <w:fldChar w:fldCharType="begin"/>
      </w:r>
      <w:r>
        <w:instrText xml:space="preserve"> PAGEREF _Toc206576457 \h </w:instrText>
      </w:r>
      <w:r>
        <w:fldChar w:fldCharType="separate"/>
      </w:r>
      <w:r>
        <w:t>5</w:t>
      </w:r>
      <w:r>
        <w:fldChar w:fldCharType="end"/>
      </w:r>
    </w:p>
    <w:p w14:paraId="2CA432C7" w14:textId="6979E10E"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Организация и проведение защиты дипломного проекта (работы)</w:t>
      </w:r>
      <w:r>
        <w:tab/>
      </w:r>
      <w:r>
        <w:fldChar w:fldCharType="begin"/>
      </w:r>
      <w:r>
        <w:instrText xml:space="preserve"> PAGEREF _Toc206576458 \h </w:instrText>
      </w:r>
      <w:r>
        <w:fldChar w:fldCharType="separate"/>
      </w:r>
      <w:r>
        <w:t>6</w:t>
      </w:r>
      <w:r>
        <w:fldChar w:fldCharType="end"/>
      </w:r>
    </w:p>
    <w:p w14:paraId="323CBC48" w14:textId="56B23F4C"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Примерная структура программы ГИА</w:t>
      </w:r>
      <w:r>
        <w:tab/>
      </w:r>
      <w:r>
        <w:fldChar w:fldCharType="begin"/>
      </w:r>
      <w:r>
        <w:instrText xml:space="preserve"> PAGEREF _Toc206576459 \h </w:instrText>
      </w:r>
      <w:r>
        <w:fldChar w:fldCharType="separate"/>
      </w:r>
      <w:r>
        <w:t>6</w:t>
      </w:r>
      <w:r>
        <w:fldChar w:fldCharType="end"/>
      </w:r>
    </w:p>
    <w:p w14:paraId="4699980C" w14:textId="1B11D3AD" w:rsidR="00686D9F" w:rsidRDefault="00686D9F">
      <w:pPr>
        <w:pStyle w:val="14"/>
        <w:rPr>
          <w:rFonts w:asciiTheme="minorHAnsi" w:eastAsiaTheme="minorEastAsia" w:hAnsiTheme="minorHAnsi" w:cstheme="minorBidi"/>
          <w:b w:val="0"/>
          <w:bCs w:val="0"/>
          <w:lang w:eastAsia="ru-RU"/>
        </w:rPr>
      </w:pPr>
      <w:r w:rsidRPr="00EE2A47">
        <w:rPr>
          <w:rFonts w:eastAsia="Times New Roman"/>
          <w:lang w:eastAsia="zh-CN"/>
        </w:rPr>
        <w:t>Приложения:</w:t>
      </w:r>
      <w:r>
        <w:tab/>
      </w:r>
      <w:r>
        <w:fldChar w:fldCharType="begin"/>
      </w:r>
      <w:r>
        <w:instrText xml:space="preserve"> PAGEREF _Toc206576466 \h </w:instrText>
      </w:r>
      <w:r>
        <w:fldChar w:fldCharType="separate"/>
      </w:r>
      <w:r>
        <w:t>6</w:t>
      </w:r>
      <w:r>
        <w:fldChar w:fldCharType="end"/>
      </w:r>
    </w:p>
    <w:p w14:paraId="15DE3453" w14:textId="5E255ABC"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206576456"/>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445140D9" w:rsidR="00E351CC" w:rsidRPr="00686D9F" w:rsidRDefault="00E351CC" w:rsidP="001E637C">
      <w:pPr>
        <w:pStyle w:val="af4"/>
        <w:spacing w:before="0" w:after="0" w:line="276" w:lineRule="auto"/>
        <w:ind w:firstLine="709"/>
      </w:pPr>
      <w:r w:rsidRPr="00686D9F">
        <w:t xml:space="preserve">Примерная программа государственной итоговой аттестации (далее – примерная программа ГИА) выпускников по специальности </w:t>
      </w:r>
      <w:r w:rsidR="001244AB" w:rsidRPr="00686D9F">
        <w:t>25.02.10 Транспортная безопасность воздушного транспорта</w:t>
      </w:r>
      <w:r w:rsidRPr="00686D9F">
        <w:t xml:space="preserve"> разработана в соответствии с Законом Российской Федерации от 29.12.2012 г. № 273-ФЗ «Об образовании в Российской Федерации», </w:t>
      </w:r>
      <w:bookmarkStart w:id="3" w:name="_Hlk156559699"/>
      <w:r w:rsidRPr="00686D9F">
        <w:rPr>
          <w:bCs/>
          <w:szCs w:val="24"/>
        </w:rPr>
        <w:t xml:space="preserve">Приказом </w:t>
      </w:r>
      <w:proofErr w:type="spellStart"/>
      <w:r w:rsidRPr="00686D9F">
        <w:rPr>
          <w:bCs/>
          <w:szCs w:val="24"/>
        </w:rPr>
        <w:t>Минпросвещения</w:t>
      </w:r>
      <w:proofErr w:type="spellEnd"/>
      <w:r w:rsidRPr="00686D9F">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686D9F">
        <w:t xml:space="preserve">ФГОС СПО по специальности </w:t>
      </w:r>
      <w:r w:rsidR="00686D9F" w:rsidRPr="00686D9F">
        <w:t>25.02.10 Транспортная безопасность воздушного транспорта</w:t>
      </w:r>
      <w:r w:rsidRPr="00686D9F">
        <w:t>, и определяет совокупность требований к е</w:t>
      </w:r>
      <w:r w:rsidR="006E2DA7" w:rsidRPr="00686D9F">
        <w:t>е</w:t>
      </w:r>
      <w:r w:rsidRPr="00686D9F">
        <w:t xml:space="preserve"> организации и проведению.</w:t>
      </w:r>
    </w:p>
    <w:p w14:paraId="72343A06" w14:textId="670F85DB" w:rsidR="00E351CC" w:rsidRPr="00686D9F" w:rsidRDefault="00E351CC" w:rsidP="001E637C">
      <w:pPr>
        <w:pStyle w:val="af4"/>
        <w:spacing w:before="0" w:after="0" w:line="276" w:lineRule="auto"/>
        <w:ind w:firstLine="709"/>
      </w:pPr>
      <w:r w:rsidRPr="00686D9F">
        <w:t>Цель государственной итоговой аттестации – установление соответствия</w:t>
      </w:r>
      <w:r w:rsidR="00580A60" w:rsidRPr="00686D9F">
        <w:t xml:space="preserve"> результатов освоения обучающимися образовательной программы по</w:t>
      </w:r>
      <w:r w:rsidRPr="00686D9F">
        <w:t xml:space="preserve"> специальности </w:t>
      </w:r>
      <w:r w:rsidR="00686D9F" w:rsidRPr="00686D9F">
        <w:t>25.02.10 Транспортная безопасность воздушного транспорта</w:t>
      </w:r>
      <w:r w:rsidR="00686D9F" w:rsidRPr="00686D9F">
        <w:t xml:space="preserve"> </w:t>
      </w:r>
      <w:r w:rsidR="00580A60" w:rsidRPr="00686D9F">
        <w:t>соответствующим требованиям ФГОС СПО</w:t>
      </w:r>
      <w:r w:rsidRPr="00686D9F">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686D9F" w:rsidRDefault="001E637C" w:rsidP="001E637C">
      <w:pPr>
        <w:pStyle w:val="af4"/>
        <w:spacing w:before="0" w:after="0" w:line="276" w:lineRule="auto"/>
        <w:ind w:firstLine="709"/>
      </w:pPr>
      <w:r w:rsidRPr="00686D9F">
        <w:t>Задачи государственной итоговой аттестации:</w:t>
      </w:r>
    </w:p>
    <w:p w14:paraId="7DAFC75A" w14:textId="57E70514" w:rsidR="001E637C" w:rsidRPr="00686D9F" w:rsidRDefault="001E637C" w:rsidP="001E637C">
      <w:pPr>
        <w:pStyle w:val="af4"/>
        <w:spacing w:before="0" w:after="0" w:line="276" w:lineRule="auto"/>
        <w:ind w:firstLine="709"/>
      </w:pPr>
      <w:r w:rsidRPr="00686D9F">
        <w:t>– определение соответствия навыков, умений и знаний выпускников современным требованиям рынка труда, квалификационным требованиям</w:t>
      </w:r>
      <w:r w:rsidR="00580A60" w:rsidRPr="00686D9F">
        <w:t xml:space="preserve"> ФГОС СПО и</w:t>
      </w:r>
      <w:r w:rsidRPr="00686D9F">
        <w:t xml:space="preserve"> регионального рынка труда;</w:t>
      </w:r>
    </w:p>
    <w:p w14:paraId="50AE8E18" w14:textId="7EFFDBFE" w:rsidR="001E637C" w:rsidRPr="00686D9F" w:rsidRDefault="001E637C" w:rsidP="001E637C">
      <w:pPr>
        <w:pStyle w:val="af4"/>
        <w:spacing w:before="0" w:after="0" w:line="276" w:lineRule="auto"/>
        <w:ind w:firstLine="709"/>
      </w:pPr>
      <w:r w:rsidRPr="00686D9F">
        <w:t xml:space="preserve">– определение степени сформированности профессиональных компетенций, </w:t>
      </w:r>
      <w:r w:rsidR="00580A60" w:rsidRPr="00686D9F">
        <w:t>личностных качеств, соответствующих ФГОС СПО и</w:t>
      </w:r>
      <w:r w:rsidRPr="00686D9F">
        <w:t xml:space="preserve"> наиболее востребованных на рынке труда.</w:t>
      </w:r>
    </w:p>
    <w:p w14:paraId="7A045FCC" w14:textId="54958429" w:rsidR="001E637C" w:rsidRPr="00686D9F" w:rsidRDefault="001E637C" w:rsidP="001E637C">
      <w:pPr>
        <w:pStyle w:val="af4"/>
        <w:spacing w:before="0" w:after="0" w:line="276" w:lineRule="auto"/>
        <w:ind w:firstLine="709"/>
      </w:pPr>
      <w:r w:rsidRPr="00686D9F">
        <w:t xml:space="preserve">По результатам ГИА выпускнику по специальности </w:t>
      </w:r>
      <w:r w:rsidR="00686D9F" w:rsidRPr="00686D9F">
        <w:t>25.02.10 Транспортная безопасность воздушного транспорта</w:t>
      </w:r>
      <w:r w:rsidR="00686D9F" w:rsidRPr="00686D9F">
        <w:t xml:space="preserve"> </w:t>
      </w:r>
      <w:r w:rsidRPr="00686D9F">
        <w:t xml:space="preserve">присваивается квалификация: </w:t>
      </w:r>
      <w:r w:rsidR="00686D9F" w:rsidRPr="00686D9F">
        <w:t>специалист по обеспечению транспортной безопасности воздушного транспорта</w:t>
      </w:r>
      <w:r w:rsidRPr="00686D9F">
        <w:t>.</w:t>
      </w:r>
    </w:p>
    <w:p w14:paraId="2A45287B" w14:textId="134160CE" w:rsidR="001E637C" w:rsidRPr="00686D9F" w:rsidRDefault="00E351CC" w:rsidP="001E637C">
      <w:pPr>
        <w:pStyle w:val="af4"/>
        <w:spacing w:before="0" w:after="0" w:line="276" w:lineRule="auto"/>
        <w:ind w:firstLine="709"/>
      </w:pPr>
      <w:r w:rsidRPr="00686D9F">
        <w:t xml:space="preserve">Примерная программа ГИА является частью основной </w:t>
      </w:r>
      <w:r w:rsidR="00647A9F" w:rsidRPr="00686D9F">
        <w:t>ПОП</w:t>
      </w:r>
      <w:r w:rsidRPr="00686D9F">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686D9F">
        <w:t>специальности</w:t>
      </w:r>
      <w:r w:rsidRPr="00686D9F">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609"/>
        <w:gridCol w:w="4815"/>
      </w:tblGrid>
      <w:tr w:rsidR="00C07FB3" w:rsidRPr="00C07FB3" w14:paraId="78A5114A" w14:textId="77777777" w:rsidTr="00686D9F">
        <w:trPr>
          <w:trHeight w:val="441"/>
        </w:trPr>
        <w:tc>
          <w:tcPr>
            <w:tcW w:w="4609"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815"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815"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686D9F">
        <w:trPr>
          <w:trHeight w:val="31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1F9DF629" w14:textId="60B0F705" w:rsidR="00C07FB3" w:rsidRPr="00C07FB3" w:rsidRDefault="00C07FB3" w:rsidP="00E6774A">
            <w:pPr>
              <w:ind w:left="49" w:right="51"/>
              <w:rPr>
                <w:rFonts w:ascii="Times New Roman" w:hAnsi="Times New Roman" w:cs="Times New Roman"/>
                <w:i/>
                <w:iCs/>
                <w:color w:val="000000"/>
                <w:sz w:val="24"/>
                <w:szCs w:val="24"/>
              </w:rPr>
            </w:pPr>
            <w:r w:rsidRPr="00C07FB3">
              <w:rPr>
                <w:rFonts w:ascii="Times New Roman" w:hAnsi="Times New Roman" w:cs="Times New Roman"/>
                <w:color w:val="000000"/>
                <w:sz w:val="24"/>
                <w:szCs w:val="24"/>
              </w:rPr>
              <w:t>ВД 01</w:t>
            </w:r>
            <w:r w:rsidRPr="00686D9F">
              <w:rPr>
                <w:rFonts w:ascii="Times New Roman" w:hAnsi="Times New Roman" w:cs="Times New Roman"/>
                <w:color w:val="000000"/>
                <w:sz w:val="24"/>
                <w:szCs w:val="24"/>
              </w:rPr>
              <w:t xml:space="preserve">. </w:t>
            </w:r>
            <w:r w:rsidR="00686D9F" w:rsidRPr="00686D9F">
              <w:rPr>
                <w:rFonts w:ascii="Times New Roman" w:hAnsi="Times New Roman" w:cs="Times New Roman"/>
                <w:color w:val="000000"/>
                <w:sz w:val="24"/>
                <w:szCs w:val="24"/>
              </w:rPr>
              <w:t>Досмотр в целях обеспечения транспортной безопасности на воздушном транспорте</w:t>
            </w:r>
          </w:p>
        </w:tc>
        <w:tc>
          <w:tcPr>
            <w:tcW w:w="4815" w:type="dxa"/>
            <w:tcBorders>
              <w:top w:val="single" w:sz="4" w:space="0" w:color="000000"/>
              <w:left w:val="single" w:sz="4" w:space="0" w:color="000000"/>
              <w:bottom w:val="single" w:sz="4" w:space="0" w:color="000000"/>
              <w:right w:val="single" w:sz="4" w:space="0" w:color="000000"/>
            </w:tcBorders>
          </w:tcPr>
          <w:p w14:paraId="09F95399" w14:textId="273A0E52" w:rsidR="00C07FB3" w:rsidRPr="00C07FB3" w:rsidRDefault="00686D9F" w:rsidP="00E6774A">
            <w:pPr>
              <w:ind w:left="77" w:right="137"/>
              <w:rPr>
                <w:rFonts w:ascii="Times New Roman" w:hAnsi="Times New Roman" w:cs="Times New Roman"/>
                <w:color w:val="000000"/>
                <w:sz w:val="24"/>
                <w:szCs w:val="24"/>
              </w:rPr>
            </w:pPr>
            <w:r w:rsidRPr="00686D9F">
              <w:rPr>
                <w:rFonts w:ascii="Times New Roman" w:hAnsi="Times New Roman" w:cs="Times New Roman"/>
                <w:color w:val="000000"/>
                <w:sz w:val="24"/>
                <w:szCs w:val="24"/>
              </w:rPr>
              <w:t>ПМ.01 Досмотр в целях обеспечения транспортной безопасности на воздушном транспорте</w:t>
            </w:r>
          </w:p>
        </w:tc>
      </w:tr>
      <w:tr w:rsidR="00C07FB3" w:rsidRPr="00C07FB3" w14:paraId="0612052B"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12CAB1D3" w14:textId="02871BC3" w:rsidR="00C07FB3" w:rsidRPr="00C07FB3" w:rsidRDefault="00686D9F" w:rsidP="00E6774A">
            <w:pPr>
              <w:ind w:left="49" w:right="51"/>
              <w:rPr>
                <w:rFonts w:ascii="Times New Roman" w:hAnsi="Times New Roman" w:cs="Times New Roman"/>
                <w:color w:val="000000"/>
                <w:sz w:val="24"/>
                <w:szCs w:val="24"/>
              </w:rPr>
            </w:pPr>
            <w:r>
              <w:rPr>
                <w:rFonts w:ascii="Times New Roman" w:hAnsi="Times New Roman" w:cs="Times New Roman"/>
                <w:color w:val="000000"/>
                <w:sz w:val="24"/>
                <w:szCs w:val="24"/>
              </w:rPr>
              <w:t xml:space="preserve">ВД 02. </w:t>
            </w:r>
            <w:r w:rsidRPr="00686D9F">
              <w:rPr>
                <w:rFonts w:ascii="Times New Roman" w:hAnsi="Times New Roman" w:cs="Times New Roman"/>
                <w:color w:val="000000"/>
                <w:sz w:val="24"/>
                <w:szCs w:val="24"/>
              </w:rPr>
              <w:t>Защита объектов транспортной инфраструктуры и транспортных средств от актов незаконного вмешательства</w:t>
            </w:r>
          </w:p>
        </w:tc>
        <w:tc>
          <w:tcPr>
            <w:tcW w:w="4815" w:type="dxa"/>
            <w:tcBorders>
              <w:top w:val="single" w:sz="4" w:space="0" w:color="000000"/>
              <w:left w:val="single" w:sz="4" w:space="0" w:color="000000"/>
              <w:bottom w:val="single" w:sz="4" w:space="0" w:color="000000"/>
              <w:right w:val="single" w:sz="4" w:space="0" w:color="000000"/>
            </w:tcBorders>
          </w:tcPr>
          <w:p w14:paraId="0514B28A" w14:textId="037213A3" w:rsidR="00C07FB3" w:rsidRPr="00C07FB3" w:rsidRDefault="00686D9F" w:rsidP="00E6774A">
            <w:pPr>
              <w:ind w:left="77" w:right="137"/>
              <w:rPr>
                <w:rFonts w:ascii="Times New Roman" w:hAnsi="Times New Roman" w:cs="Times New Roman"/>
                <w:color w:val="000000"/>
                <w:sz w:val="24"/>
                <w:szCs w:val="24"/>
              </w:rPr>
            </w:pPr>
            <w:r w:rsidRPr="00686D9F">
              <w:rPr>
                <w:rFonts w:ascii="Times New Roman" w:hAnsi="Times New Roman" w:cs="Times New Roman"/>
                <w:color w:val="000000"/>
                <w:sz w:val="24"/>
                <w:szCs w:val="24"/>
              </w:rPr>
              <w:t>ПМ.02 Защита объектов транспортной инфраструктуры и транспортных средств от актов незаконного вмешательства</w:t>
            </w:r>
          </w:p>
        </w:tc>
      </w:tr>
      <w:tr w:rsidR="00C07FB3" w:rsidRPr="00C07FB3" w14:paraId="538A6448" w14:textId="77777777" w:rsidTr="00686D9F">
        <w:trPr>
          <w:trHeight w:val="221"/>
        </w:trPr>
        <w:tc>
          <w:tcPr>
            <w:tcW w:w="4609" w:type="dxa"/>
            <w:tcBorders>
              <w:top w:val="single" w:sz="4" w:space="0" w:color="000000"/>
              <w:left w:val="single" w:sz="4" w:space="0" w:color="000000"/>
              <w:bottom w:val="single" w:sz="4" w:space="0" w:color="000000"/>
              <w:right w:val="single" w:sz="4" w:space="0" w:color="000000"/>
            </w:tcBorders>
          </w:tcPr>
          <w:p w14:paraId="7C5CFC76" w14:textId="4EFD25F9" w:rsidR="00C07FB3" w:rsidRPr="00C07FB3" w:rsidRDefault="00686D9F" w:rsidP="00E6774A">
            <w:pPr>
              <w:snapToGrid w:val="0"/>
              <w:ind w:left="49" w:right="51"/>
              <w:rPr>
                <w:rFonts w:ascii="Times New Roman" w:hAnsi="Times New Roman" w:cs="Times New Roman"/>
                <w:color w:val="000000"/>
                <w:sz w:val="24"/>
                <w:szCs w:val="24"/>
              </w:rPr>
            </w:pPr>
            <w:r>
              <w:rPr>
                <w:rFonts w:ascii="Times New Roman" w:hAnsi="Times New Roman" w:cs="Times New Roman"/>
                <w:color w:val="000000"/>
                <w:sz w:val="24"/>
                <w:szCs w:val="24"/>
              </w:rPr>
              <w:t xml:space="preserve">ВД 03. </w:t>
            </w:r>
            <w:r w:rsidRPr="00686D9F">
              <w:rPr>
                <w:rFonts w:ascii="Times New Roman" w:hAnsi="Times New Roman" w:cs="Times New Roman"/>
                <w:color w:val="000000"/>
                <w:sz w:val="24"/>
                <w:szCs w:val="24"/>
              </w:rPr>
              <w:t>Организация работ по обеспечению транспортной безопасности воздушного транспорта</w:t>
            </w:r>
          </w:p>
        </w:tc>
        <w:tc>
          <w:tcPr>
            <w:tcW w:w="4815" w:type="dxa"/>
            <w:tcBorders>
              <w:top w:val="single" w:sz="4" w:space="0" w:color="000000"/>
              <w:left w:val="single" w:sz="4" w:space="0" w:color="000000"/>
              <w:bottom w:val="single" w:sz="4" w:space="0" w:color="000000"/>
              <w:right w:val="single" w:sz="4" w:space="0" w:color="000000"/>
            </w:tcBorders>
          </w:tcPr>
          <w:p w14:paraId="164E43C4" w14:textId="24117A4F" w:rsidR="00C07FB3" w:rsidRPr="00C07FB3" w:rsidRDefault="00686D9F" w:rsidP="00E6774A">
            <w:pPr>
              <w:snapToGrid w:val="0"/>
              <w:ind w:left="77" w:right="137"/>
              <w:rPr>
                <w:rFonts w:ascii="Times New Roman" w:hAnsi="Times New Roman" w:cs="Times New Roman"/>
                <w:color w:val="000000"/>
                <w:sz w:val="24"/>
                <w:szCs w:val="24"/>
              </w:rPr>
            </w:pPr>
            <w:r w:rsidRPr="00686D9F">
              <w:rPr>
                <w:rFonts w:ascii="Times New Roman" w:hAnsi="Times New Roman" w:cs="Times New Roman"/>
                <w:color w:val="000000"/>
                <w:sz w:val="24"/>
                <w:szCs w:val="24"/>
              </w:rPr>
              <w:t>ПМ.03 Организация работ по обеспечению транспортной безопасности воздушного транспорта</w:t>
            </w:r>
          </w:p>
        </w:tc>
      </w:tr>
    </w:tbl>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530C2B54" w:rsidR="001E637C" w:rsidRDefault="001E637C" w:rsidP="0056201B">
      <w:pPr>
        <w:spacing w:after="120"/>
        <w:jc w:val="center"/>
        <w:rPr>
          <w:rFonts w:ascii="Times New Roman" w:hAnsi="Times New Roman"/>
          <w:b/>
          <w:sz w:val="24"/>
          <w:szCs w:val="24"/>
        </w:rPr>
      </w:pPr>
      <w:r>
        <w:rPr>
          <w:rFonts w:ascii="Times New Roman" w:hAnsi="Times New Roman"/>
          <w:b/>
          <w:i/>
          <w:iCs/>
          <w:color w:val="FF0000"/>
          <w:sz w:val="24"/>
          <w:szCs w:val="24"/>
        </w:rPr>
        <w:t>П</w:t>
      </w:r>
      <w:r w:rsidRPr="001E637C">
        <w:rPr>
          <w:rFonts w:ascii="Times New Roman" w:hAnsi="Times New Roman"/>
          <w:b/>
          <w:i/>
          <w:iCs/>
          <w:color w:val="FF0000"/>
          <w:sz w:val="24"/>
          <w:szCs w:val="24"/>
        </w:rPr>
        <w:t xml:space="preserve">ри </w:t>
      </w:r>
      <w:r>
        <w:rPr>
          <w:rFonts w:ascii="Times New Roman" w:hAnsi="Times New Roman"/>
          <w:b/>
          <w:i/>
          <w:iCs/>
          <w:color w:val="FF0000"/>
          <w:sz w:val="24"/>
          <w:szCs w:val="24"/>
        </w:rPr>
        <w:t>отсутствии</w:t>
      </w:r>
      <w:r w:rsidRPr="001E637C">
        <w:rPr>
          <w:rFonts w:ascii="Times New Roman" w:hAnsi="Times New Roman"/>
          <w:b/>
          <w:i/>
          <w:iCs/>
          <w:color w:val="FF0000"/>
          <w:sz w:val="24"/>
          <w:szCs w:val="24"/>
        </w:rPr>
        <w:t xml:space="preserve"> направленностей</w:t>
      </w:r>
    </w:p>
    <w:tbl>
      <w:tblPr>
        <w:tblW w:w="500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000" w:firstRow="0" w:lastRow="0" w:firstColumn="0" w:lastColumn="0" w:noHBand="0" w:noVBand="0"/>
      </w:tblPr>
      <w:tblGrid>
        <w:gridCol w:w="3389"/>
        <w:gridCol w:w="6246"/>
      </w:tblGrid>
      <w:tr w:rsidR="00686D9F" w:rsidRPr="00686D9F" w14:paraId="0680EB30" w14:textId="77777777" w:rsidTr="00686D9F">
        <w:trPr>
          <w:trHeight w:val="472"/>
        </w:trPr>
        <w:tc>
          <w:tcPr>
            <w:tcW w:w="3396" w:type="dxa"/>
          </w:tcPr>
          <w:p w14:paraId="11A7B5DE" w14:textId="77777777" w:rsidR="00D13E2F" w:rsidRPr="00686D9F" w:rsidRDefault="00D13E2F" w:rsidP="00D25349">
            <w:pPr>
              <w:widowControl w:val="0"/>
              <w:jc w:val="center"/>
              <w:rPr>
                <w:rFonts w:ascii="Times New Roman" w:hAnsi="Times New Roman"/>
                <w:b/>
                <w:bCs/>
                <w:sz w:val="24"/>
                <w:szCs w:val="24"/>
              </w:rPr>
            </w:pPr>
            <w:r w:rsidRPr="00686D9F">
              <w:rPr>
                <w:rFonts w:ascii="Times New Roman" w:hAnsi="Times New Roman"/>
                <w:sz w:val="24"/>
                <w:szCs w:val="24"/>
                <w:shd w:val="clear" w:color="auto" w:fill="FFFFFF"/>
                <w:lang w:eastAsia="ru-RU"/>
              </w:rPr>
              <w:t xml:space="preserve">Оцениваемые виды деятельности </w:t>
            </w:r>
          </w:p>
        </w:tc>
        <w:tc>
          <w:tcPr>
            <w:tcW w:w="6259" w:type="dxa"/>
          </w:tcPr>
          <w:p w14:paraId="69F8BD3E" w14:textId="77777777" w:rsidR="00D13E2F" w:rsidRPr="00686D9F" w:rsidRDefault="00D13E2F" w:rsidP="00D25349">
            <w:pPr>
              <w:widowControl w:val="0"/>
              <w:jc w:val="center"/>
              <w:rPr>
                <w:rFonts w:ascii="Times New Roman" w:hAnsi="Times New Roman"/>
                <w:b/>
                <w:bCs/>
                <w:sz w:val="24"/>
                <w:szCs w:val="24"/>
              </w:rPr>
            </w:pPr>
            <w:r w:rsidRPr="00686D9F">
              <w:rPr>
                <w:rFonts w:ascii="Times New Roman" w:hAnsi="Times New Roman"/>
                <w:sz w:val="24"/>
                <w:szCs w:val="24"/>
                <w:shd w:val="clear" w:color="auto" w:fill="FFFFFF"/>
                <w:lang w:eastAsia="ru-RU"/>
              </w:rPr>
              <w:t>Профессиональные компетенции</w:t>
            </w:r>
          </w:p>
        </w:tc>
      </w:tr>
      <w:tr w:rsidR="00686D9F" w:rsidRPr="00686D9F" w14:paraId="576D971E" w14:textId="77777777" w:rsidTr="00686D9F">
        <w:trPr>
          <w:trHeight w:val="259"/>
        </w:trPr>
        <w:tc>
          <w:tcPr>
            <w:tcW w:w="3396" w:type="dxa"/>
            <w:vMerge w:val="restart"/>
          </w:tcPr>
          <w:p w14:paraId="1ACB46FD" w14:textId="155C80FA" w:rsidR="00D13E2F" w:rsidRPr="00686D9F" w:rsidRDefault="00686D9F" w:rsidP="00686D9F">
            <w:pPr>
              <w:widowControl w:val="0"/>
              <w:ind w:left="142"/>
              <w:rPr>
                <w:rFonts w:ascii="Times New Roman" w:hAnsi="Times New Roman"/>
                <w:sz w:val="24"/>
                <w:szCs w:val="24"/>
              </w:rPr>
            </w:pPr>
            <w:r w:rsidRPr="00686D9F">
              <w:rPr>
                <w:rFonts w:ascii="Times New Roman" w:hAnsi="Times New Roman"/>
                <w:sz w:val="24"/>
                <w:szCs w:val="24"/>
              </w:rPr>
              <w:t>ВД 01. Досмотр в целях обеспечения транспортной безопасности на воздушном транспорте</w:t>
            </w:r>
          </w:p>
        </w:tc>
        <w:tc>
          <w:tcPr>
            <w:tcW w:w="6259" w:type="dxa"/>
          </w:tcPr>
          <w:p w14:paraId="036F1462" w14:textId="02296334" w:rsidR="00D13E2F" w:rsidRPr="00686D9F" w:rsidRDefault="00686D9F" w:rsidP="00686D9F">
            <w:pPr>
              <w:widowControl w:val="0"/>
              <w:ind w:left="139"/>
              <w:rPr>
                <w:rFonts w:ascii="Times New Roman" w:hAnsi="Times New Roman"/>
                <w:iCs/>
                <w:sz w:val="24"/>
                <w:szCs w:val="24"/>
              </w:rPr>
            </w:pPr>
            <w:r w:rsidRPr="00686D9F">
              <w:rPr>
                <w:rFonts w:ascii="Times New Roman" w:hAnsi="Times New Roman"/>
                <w:iCs/>
                <w:sz w:val="24"/>
                <w:szCs w:val="24"/>
              </w:rPr>
              <w:t>ПК 1.1. Производить досмотр пассажиров, их багажа, ручной клади и перемещаемых ими предметов в зону транспортной безопасности.</w:t>
            </w:r>
          </w:p>
        </w:tc>
      </w:tr>
      <w:tr w:rsidR="00686D9F" w:rsidRPr="00686D9F" w14:paraId="1CD663CE" w14:textId="77777777" w:rsidTr="00686D9F">
        <w:trPr>
          <w:trHeight w:val="250"/>
        </w:trPr>
        <w:tc>
          <w:tcPr>
            <w:tcW w:w="3396" w:type="dxa"/>
            <w:vMerge/>
          </w:tcPr>
          <w:p w14:paraId="224B377C" w14:textId="77777777" w:rsidR="00D13E2F" w:rsidRPr="00686D9F" w:rsidRDefault="00D13E2F" w:rsidP="00686D9F">
            <w:pPr>
              <w:widowControl w:val="0"/>
              <w:ind w:left="142"/>
              <w:rPr>
                <w:rFonts w:ascii="Times New Roman" w:hAnsi="Times New Roman"/>
                <w:sz w:val="24"/>
                <w:szCs w:val="24"/>
              </w:rPr>
            </w:pPr>
          </w:p>
        </w:tc>
        <w:tc>
          <w:tcPr>
            <w:tcW w:w="6259" w:type="dxa"/>
          </w:tcPr>
          <w:p w14:paraId="3A9C64DE" w14:textId="6B69EE09" w:rsidR="00D13E2F" w:rsidRPr="00686D9F" w:rsidRDefault="00686D9F" w:rsidP="00686D9F">
            <w:pPr>
              <w:widowControl w:val="0"/>
              <w:ind w:left="139" w:hanging="3"/>
              <w:rPr>
                <w:rFonts w:ascii="Times New Roman" w:hAnsi="Times New Roman"/>
                <w:sz w:val="24"/>
                <w:szCs w:val="24"/>
              </w:rPr>
            </w:pPr>
            <w:r w:rsidRPr="00686D9F">
              <w:rPr>
                <w:rFonts w:ascii="Times New Roman" w:hAnsi="Times New Roman"/>
                <w:sz w:val="24"/>
                <w:szCs w:val="24"/>
              </w:rPr>
              <w:t>ПК 1.2. Производить досмотр членов экипажей воздушных судов, персонала аэропорта и прочих, не являющихся пассажирами лиц и перемещаемых ими предметов в зону транспортной безопасности.</w:t>
            </w:r>
          </w:p>
        </w:tc>
      </w:tr>
      <w:tr w:rsidR="00686D9F" w:rsidRPr="00686D9F" w14:paraId="36187F7D" w14:textId="77777777" w:rsidTr="00686D9F">
        <w:trPr>
          <w:trHeight w:val="250"/>
        </w:trPr>
        <w:tc>
          <w:tcPr>
            <w:tcW w:w="3396" w:type="dxa"/>
            <w:vMerge/>
          </w:tcPr>
          <w:p w14:paraId="17544432" w14:textId="77777777" w:rsidR="00686D9F" w:rsidRPr="00686D9F" w:rsidRDefault="00686D9F" w:rsidP="00686D9F">
            <w:pPr>
              <w:widowControl w:val="0"/>
              <w:ind w:left="142"/>
              <w:rPr>
                <w:rFonts w:ascii="Times New Roman" w:hAnsi="Times New Roman"/>
                <w:sz w:val="24"/>
                <w:szCs w:val="24"/>
              </w:rPr>
            </w:pPr>
          </w:p>
        </w:tc>
        <w:tc>
          <w:tcPr>
            <w:tcW w:w="6259" w:type="dxa"/>
          </w:tcPr>
          <w:p w14:paraId="16C8F2D4" w14:textId="5AEA11C5"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1.3. Производить досмотр груза, почты, бортовых запасов, в том числе бортового питания, аварийно-спасательных средств и бортового оборудования.</w:t>
            </w:r>
          </w:p>
        </w:tc>
      </w:tr>
      <w:tr w:rsidR="00686D9F" w:rsidRPr="00686D9F" w14:paraId="3C81B051" w14:textId="77777777" w:rsidTr="00686D9F">
        <w:trPr>
          <w:trHeight w:val="250"/>
        </w:trPr>
        <w:tc>
          <w:tcPr>
            <w:tcW w:w="3396" w:type="dxa"/>
            <w:vMerge/>
          </w:tcPr>
          <w:p w14:paraId="03D0D689" w14:textId="77777777" w:rsidR="00686D9F" w:rsidRPr="00686D9F" w:rsidRDefault="00686D9F" w:rsidP="00686D9F">
            <w:pPr>
              <w:widowControl w:val="0"/>
              <w:ind w:left="142"/>
              <w:rPr>
                <w:rFonts w:ascii="Times New Roman" w:hAnsi="Times New Roman"/>
                <w:sz w:val="24"/>
                <w:szCs w:val="24"/>
              </w:rPr>
            </w:pPr>
          </w:p>
        </w:tc>
        <w:tc>
          <w:tcPr>
            <w:tcW w:w="6259" w:type="dxa"/>
          </w:tcPr>
          <w:p w14:paraId="7DC2FD70" w14:textId="4E8CDD10"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1.4. Производить досмотр автотранспортных средств, самоходных машин и механизмов.</w:t>
            </w:r>
          </w:p>
        </w:tc>
      </w:tr>
      <w:tr w:rsidR="00686D9F" w:rsidRPr="00686D9F" w14:paraId="09E746CA" w14:textId="77777777" w:rsidTr="00686D9F">
        <w:trPr>
          <w:trHeight w:val="250"/>
        </w:trPr>
        <w:tc>
          <w:tcPr>
            <w:tcW w:w="3396" w:type="dxa"/>
            <w:vMerge/>
          </w:tcPr>
          <w:p w14:paraId="3DE61494" w14:textId="77777777" w:rsidR="00686D9F" w:rsidRPr="00686D9F" w:rsidRDefault="00686D9F" w:rsidP="00686D9F">
            <w:pPr>
              <w:widowControl w:val="0"/>
              <w:ind w:left="142"/>
              <w:rPr>
                <w:rFonts w:ascii="Times New Roman" w:hAnsi="Times New Roman"/>
                <w:sz w:val="24"/>
                <w:szCs w:val="24"/>
              </w:rPr>
            </w:pPr>
          </w:p>
        </w:tc>
        <w:tc>
          <w:tcPr>
            <w:tcW w:w="6259" w:type="dxa"/>
          </w:tcPr>
          <w:p w14:paraId="3EB03B7F" w14:textId="51AE6451"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1.5. Производить досмотр воздушных судов.</w:t>
            </w:r>
          </w:p>
        </w:tc>
      </w:tr>
      <w:tr w:rsidR="00686D9F" w:rsidRPr="00686D9F" w14:paraId="2268B84D" w14:textId="77777777" w:rsidTr="00686D9F">
        <w:trPr>
          <w:trHeight w:val="347"/>
        </w:trPr>
        <w:tc>
          <w:tcPr>
            <w:tcW w:w="3396" w:type="dxa"/>
            <w:vMerge/>
          </w:tcPr>
          <w:p w14:paraId="67BF906E" w14:textId="77777777" w:rsidR="00D13E2F" w:rsidRPr="00686D9F" w:rsidRDefault="00D13E2F" w:rsidP="00686D9F">
            <w:pPr>
              <w:widowControl w:val="0"/>
              <w:ind w:left="142"/>
              <w:rPr>
                <w:rFonts w:ascii="Times New Roman" w:hAnsi="Times New Roman"/>
                <w:sz w:val="24"/>
                <w:szCs w:val="24"/>
              </w:rPr>
            </w:pPr>
          </w:p>
        </w:tc>
        <w:tc>
          <w:tcPr>
            <w:tcW w:w="6259" w:type="dxa"/>
          </w:tcPr>
          <w:p w14:paraId="3B14A773" w14:textId="224914F4" w:rsidR="00D13E2F" w:rsidRPr="00686D9F" w:rsidRDefault="00686D9F" w:rsidP="00686D9F">
            <w:pPr>
              <w:widowControl w:val="0"/>
              <w:ind w:left="139"/>
              <w:rPr>
                <w:rFonts w:ascii="Times New Roman" w:hAnsi="Times New Roman"/>
                <w:sz w:val="24"/>
                <w:szCs w:val="24"/>
              </w:rPr>
            </w:pPr>
            <w:r w:rsidRPr="00686D9F">
              <w:rPr>
                <w:rFonts w:ascii="Times New Roman" w:hAnsi="Times New Roman"/>
                <w:sz w:val="24"/>
                <w:szCs w:val="24"/>
              </w:rPr>
              <w:t>ПК 1.6. Выявлять нарушения при досмотре с помощью сертифицированных в установленном порядке средств досмотра и технических средств с целью обеспечения транспортной безопасности.</w:t>
            </w:r>
          </w:p>
        </w:tc>
      </w:tr>
      <w:tr w:rsidR="00686D9F" w:rsidRPr="00686D9F" w14:paraId="14D7A82F" w14:textId="77777777" w:rsidTr="00686D9F">
        <w:trPr>
          <w:trHeight w:val="86"/>
        </w:trPr>
        <w:tc>
          <w:tcPr>
            <w:tcW w:w="3396" w:type="dxa"/>
            <w:vMerge w:val="restart"/>
          </w:tcPr>
          <w:p w14:paraId="26732D6D" w14:textId="24C8B875" w:rsidR="00D13E2F" w:rsidRPr="00686D9F" w:rsidRDefault="00686D9F" w:rsidP="00686D9F">
            <w:pPr>
              <w:widowControl w:val="0"/>
              <w:ind w:left="142"/>
              <w:rPr>
                <w:rFonts w:ascii="Times New Roman" w:hAnsi="Times New Roman"/>
                <w:sz w:val="24"/>
                <w:szCs w:val="24"/>
              </w:rPr>
            </w:pPr>
            <w:bookmarkStart w:id="4" w:name="_Hlk206576190"/>
            <w:r w:rsidRPr="00686D9F">
              <w:rPr>
                <w:rFonts w:ascii="Times New Roman" w:hAnsi="Times New Roman"/>
                <w:sz w:val="24"/>
                <w:szCs w:val="24"/>
              </w:rPr>
              <w:t>ВД 02. Защита объектов транспортной инфраструктуры и транспортных средств от актов незаконного вмешательства</w:t>
            </w:r>
          </w:p>
        </w:tc>
        <w:tc>
          <w:tcPr>
            <w:tcW w:w="6259" w:type="dxa"/>
          </w:tcPr>
          <w:p w14:paraId="2BA28511" w14:textId="57AE776C" w:rsidR="00D13E2F" w:rsidRPr="00686D9F" w:rsidRDefault="00686D9F" w:rsidP="00686D9F">
            <w:pPr>
              <w:widowControl w:val="0"/>
              <w:ind w:left="139"/>
              <w:rPr>
                <w:rFonts w:ascii="Times New Roman" w:eastAsia="Calibri" w:hAnsi="Times New Roman"/>
                <w:spacing w:val="2"/>
                <w:sz w:val="24"/>
                <w:szCs w:val="24"/>
                <w:highlight w:val="yellow"/>
                <w:shd w:val="clear" w:color="auto" w:fill="FFFFFF"/>
              </w:rPr>
            </w:pPr>
            <w:r w:rsidRPr="00686D9F">
              <w:rPr>
                <w:rFonts w:ascii="Times New Roman" w:eastAsia="Calibri" w:hAnsi="Times New Roman"/>
                <w:spacing w:val="2"/>
                <w:sz w:val="24"/>
                <w:szCs w:val="24"/>
                <w:shd w:val="clear" w:color="auto" w:fill="FFFFFF"/>
              </w:rPr>
              <w:t>ПК 2.1. Осуществлять защиту объектов транспортной инфраструктуры и транспортных средств от актов незаконного вмешательства.</w:t>
            </w:r>
          </w:p>
        </w:tc>
      </w:tr>
      <w:tr w:rsidR="00686D9F" w:rsidRPr="00686D9F" w14:paraId="40A4E688" w14:textId="77777777" w:rsidTr="00686D9F">
        <w:trPr>
          <w:trHeight w:val="236"/>
        </w:trPr>
        <w:tc>
          <w:tcPr>
            <w:tcW w:w="3396" w:type="dxa"/>
            <w:vMerge/>
          </w:tcPr>
          <w:p w14:paraId="305BBFBC" w14:textId="77777777" w:rsidR="00D13E2F" w:rsidRPr="00686D9F" w:rsidRDefault="00D13E2F" w:rsidP="00686D9F">
            <w:pPr>
              <w:widowControl w:val="0"/>
              <w:ind w:left="142"/>
              <w:rPr>
                <w:rFonts w:ascii="Times New Roman" w:hAnsi="Times New Roman"/>
                <w:sz w:val="24"/>
                <w:szCs w:val="24"/>
              </w:rPr>
            </w:pPr>
          </w:p>
        </w:tc>
        <w:tc>
          <w:tcPr>
            <w:tcW w:w="6259" w:type="dxa"/>
          </w:tcPr>
          <w:p w14:paraId="4AD74CAA" w14:textId="0178A93B" w:rsidR="00D13E2F" w:rsidRPr="00686D9F" w:rsidRDefault="00686D9F" w:rsidP="00686D9F">
            <w:pPr>
              <w:widowControl w:val="0"/>
              <w:ind w:left="139"/>
              <w:rPr>
                <w:rFonts w:ascii="Times New Roman" w:eastAsia="Calibri" w:hAnsi="Times New Roman"/>
                <w:spacing w:val="2"/>
                <w:sz w:val="24"/>
                <w:szCs w:val="24"/>
                <w:shd w:val="clear" w:color="auto" w:fill="FFFFFF"/>
              </w:rPr>
            </w:pPr>
            <w:r w:rsidRPr="00686D9F">
              <w:rPr>
                <w:rFonts w:ascii="Times New Roman" w:eastAsia="Calibri" w:hAnsi="Times New Roman"/>
                <w:spacing w:val="2"/>
                <w:sz w:val="24"/>
                <w:szCs w:val="24"/>
                <w:shd w:val="clear" w:color="auto" w:fill="FFFFFF"/>
              </w:rPr>
              <w:t>ПК 2.2. Устанавливать и контролировать пропускной и внутриобъектовый режимы на объектах транспортной инфраструктуры воздушного транспорта.</w:t>
            </w:r>
          </w:p>
        </w:tc>
      </w:tr>
      <w:tr w:rsidR="00686D9F" w:rsidRPr="00686D9F" w14:paraId="7591F93F" w14:textId="77777777" w:rsidTr="00686D9F">
        <w:trPr>
          <w:trHeight w:val="236"/>
        </w:trPr>
        <w:tc>
          <w:tcPr>
            <w:tcW w:w="3396" w:type="dxa"/>
            <w:vMerge/>
          </w:tcPr>
          <w:p w14:paraId="747884E7" w14:textId="77777777" w:rsidR="00686D9F" w:rsidRPr="00686D9F" w:rsidRDefault="00686D9F" w:rsidP="00686D9F">
            <w:pPr>
              <w:widowControl w:val="0"/>
              <w:ind w:left="142"/>
              <w:rPr>
                <w:rFonts w:ascii="Times New Roman" w:hAnsi="Times New Roman"/>
                <w:sz w:val="24"/>
                <w:szCs w:val="24"/>
              </w:rPr>
            </w:pPr>
          </w:p>
        </w:tc>
        <w:tc>
          <w:tcPr>
            <w:tcW w:w="6259" w:type="dxa"/>
          </w:tcPr>
          <w:p w14:paraId="4E8F969E" w14:textId="62E1909D" w:rsidR="00686D9F" w:rsidRPr="00686D9F" w:rsidRDefault="00686D9F" w:rsidP="00686D9F">
            <w:pPr>
              <w:widowControl w:val="0"/>
              <w:ind w:left="139"/>
              <w:rPr>
                <w:rFonts w:ascii="Times New Roman" w:hAnsi="Times New Roman"/>
                <w:iCs/>
                <w:sz w:val="24"/>
                <w:szCs w:val="24"/>
              </w:rPr>
            </w:pPr>
            <w:r w:rsidRPr="00686D9F">
              <w:rPr>
                <w:rFonts w:ascii="Times New Roman" w:hAnsi="Times New Roman"/>
                <w:iCs/>
                <w:sz w:val="24"/>
                <w:szCs w:val="24"/>
              </w:rPr>
              <w:t>ПК 2.3. Контролировать соблюдение мер безопасности в неконтролируемых зонах аэропортов и других объектах транспортной инфраструктуры воздушного транспорта.</w:t>
            </w:r>
          </w:p>
        </w:tc>
      </w:tr>
      <w:tr w:rsidR="00686D9F" w:rsidRPr="00686D9F" w14:paraId="32CED3BE" w14:textId="77777777" w:rsidTr="00686D9F">
        <w:trPr>
          <w:trHeight w:val="236"/>
        </w:trPr>
        <w:tc>
          <w:tcPr>
            <w:tcW w:w="3396" w:type="dxa"/>
            <w:vMerge/>
          </w:tcPr>
          <w:p w14:paraId="53B99D2A" w14:textId="77777777" w:rsidR="00686D9F" w:rsidRPr="00686D9F" w:rsidRDefault="00686D9F" w:rsidP="00686D9F">
            <w:pPr>
              <w:widowControl w:val="0"/>
              <w:ind w:left="142"/>
              <w:rPr>
                <w:rFonts w:ascii="Times New Roman" w:hAnsi="Times New Roman"/>
                <w:sz w:val="24"/>
                <w:szCs w:val="24"/>
              </w:rPr>
            </w:pPr>
          </w:p>
        </w:tc>
        <w:tc>
          <w:tcPr>
            <w:tcW w:w="6259" w:type="dxa"/>
          </w:tcPr>
          <w:p w14:paraId="12CF391D" w14:textId="496CFAD3" w:rsidR="00686D9F" w:rsidRPr="00686D9F" w:rsidRDefault="00686D9F" w:rsidP="00686D9F">
            <w:pPr>
              <w:widowControl w:val="0"/>
              <w:ind w:left="139"/>
              <w:rPr>
                <w:rFonts w:ascii="Times New Roman" w:hAnsi="Times New Roman"/>
                <w:iCs/>
                <w:sz w:val="24"/>
                <w:szCs w:val="24"/>
              </w:rPr>
            </w:pPr>
            <w:r w:rsidRPr="00686D9F">
              <w:rPr>
                <w:rFonts w:ascii="Times New Roman" w:hAnsi="Times New Roman"/>
                <w:iCs/>
                <w:sz w:val="24"/>
                <w:szCs w:val="24"/>
              </w:rPr>
              <w:t>ПК 2.4. Оказывать лицам, получившим телесные повреждения при защите объектов транспортной инфраструктуры и транспортных средств от актов незаконного вмешательства, первую помощь.</w:t>
            </w:r>
          </w:p>
        </w:tc>
      </w:tr>
      <w:bookmarkEnd w:id="4"/>
      <w:tr w:rsidR="00686D9F" w:rsidRPr="00686D9F" w14:paraId="0FC33ED5" w14:textId="77777777" w:rsidTr="00686D9F">
        <w:trPr>
          <w:trHeight w:val="118"/>
        </w:trPr>
        <w:tc>
          <w:tcPr>
            <w:tcW w:w="3396" w:type="dxa"/>
            <w:vMerge w:val="restart"/>
          </w:tcPr>
          <w:p w14:paraId="7BFC9136" w14:textId="112A7706" w:rsidR="00686D9F" w:rsidRPr="00686D9F" w:rsidRDefault="00686D9F" w:rsidP="00686D9F">
            <w:pPr>
              <w:widowControl w:val="0"/>
              <w:ind w:left="142"/>
              <w:rPr>
                <w:rFonts w:ascii="Times New Roman" w:hAnsi="Times New Roman"/>
                <w:sz w:val="24"/>
                <w:szCs w:val="24"/>
              </w:rPr>
            </w:pPr>
            <w:r w:rsidRPr="00686D9F">
              <w:rPr>
                <w:rFonts w:ascii="Times New Roman" w:hAnsi="Times New Roman"/>
                <w:sz w:val="24"/>
                <w:szCs w:val="24"/>
              </w:rPr>
              <w:t>ВД 03. Организация работ по обеспечению транспортной безопасности воздушного транспорта</w:t>
            </w:r>
          </w:p>
        </w:tc>
        <w:tc>
          <w:tcPr>
            <w:tcW w:w="6259" w:type="dxa"/>
          </w:tcPr>
          <w:p w14:paraId="235BB1DD" w14:textId="0C322E7F"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3.1. Оценивать состояние уязвимости объектов транспортной инфраструктуры и транспортных средств.</w:t>
            </w:r>
          </w:p>
        </w:tc>
      </w:tr>
      <w:tr w:rsidR="00686D9F" w:rsidRPr="00686D9F" w14:paraId="33841E50" w14:textId="77777777" w:rsidTr="00686D9F">
        <w:trPr>
          <w:trHeight w:val="118"/>
        </w:trPr>
        <w:tc>
          <w:tcPr>
            <w:tcW w:w="3396" w:type="dxa"/>
            <w:vMerge/>
          </w:tcPr>
          <w:p w14:paraId="5E0BD047" w14:textId="77777777" w:rsidR="00686D9F" w:rsidRPr="00686D9F" w:rsidRDefault="00686D9F" w:rsidP="00686D9F">
            <w:pPr>
              <w:widowControl w:val="0"/>
              <w:rPr>
                <w:rFonts w:ascii="Times New Roman" w:hAnsi="Times New Roman"/>
                <w:sz w:val="24"/>
                <w:szCs w:val="24"/>
              </w:rPr>
            </w:pPr>
          </w:p>
        </w:tc>
        <w:tc>
          <w:tcPr>
            <w:tcW w:w="6259" w:type="dxa"/>
          </w:tcPr>
          <w:p w14:paraId="06422B4F" w14:textId="6C50E252"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3.2. Оформлять документацию (акты, журналы) по досмотру и защите объектов транспортной инфраструктуры в целях обеспечения транспортной безопасности.</w:t>
            </w:r>
          </w:p>
        </w:tc>
      </w:tr>
      <w:tr w:rsidR="00686D9F" w:rsidRPr="00686D9F" w14:paraId="0D163123" w14:textId="77777777" w:rsidTr="00686D9F">
        <w:trPr>
          <w:trHeight w:val="118"/>
        </w:trPr>
        <w:tc>
          <w:tcPr>
            <w:tcW w:w="3396" w:type="dxa"/>
            <w:vMerge/>
          </w:tcPr>
          <w:p w14:paraId="0ED10B03" w14:textId="77777777" w:rsidR="00686D9F" w:rsidRPr="00686D9F" w:rsidRDefault="00686D9F" w:rsidP="00686D9F">
            <w:pPr>
              <w:widowControl w:val="0"/>
              <w:rPr>
                <w:rFonts w:ascii="Times New Roman" w:hAnsi="Times New Roman"/>
                <w:sz w:val="24"/>
                <w:szCs w:val="24"/>
              </w:rPr>
            </w:pPr>
          </w:p>
        </w:tc>
        <w:tc>
          <w:tcPr>
            <w:tcW w:w="6259" w:type="dxa"/>
          </w:tcPr>
          <w:p w14:paraId="04A01A1B" w14:textId="3F458047"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3.3. Формировать информационные и аналитические материалы о состоянии обеспечения транспортной безопасности.</w:t>
            </w:r>
          </w:p>
        </w:tc>
      </w:tr>
      <w:tr w:rsidR="00686D9F" w:rsidRPr="00686D9F" w14:paraId="3EEAABD9" w14:textId="77777777" w:rsidTr="00686D9F">
        <w:trPr>
          <w:trHeight w:val="118"/>
        </w:trPr>
        <w:tc>
          <w:tcPr>
            <w:tcW w:w="3396" w:type="dxa"/>
            <w:vMerge/>
          </w:tcPr>
          <w:p w14:paraId="72AF999E" w14:textId="77777777" w:rsidR="00686D9F" w:rsidRPr="00686D9F" w:rsidRDefault="00686D9F" w:rsidP="00686D9F">
            <w:pPr>
              <w:widowControl w:val="0"/>
              <w:rPr>
                <w:rFonts w:ascii="Times New Roman" w:hAnsi="Times New Roman"/>
                <w:sz w:val="24"/>
                <w:szCs w:val="24"/>
              </w:rPr>
            </w:pPr>
          </w:p>
        </w:tc>
        <w:tc>
          <w:tcPr>
            <w:tcW w:w="6259" w:type="dxa"/>
          </w:tcPr>
          <w:p w14:paraId="55A53B8E" w14:textId="4A838E25"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3.4. Осуществлять калибровку и настройку уровня чувствительности средств досмотра и технических средств обеспечения транспортной безопасности, проверку их работоспособности.</w:t>
            </w:r>
          </w:p>
        </w:tc>
      </w:tr>
      <w:tr w:rsidR="00686D9F" w:rsidRPr="00686D9F" w14:paraId="37E31D6A" w14:textId="77777777" w:rsidTr="00686D9F">
        <w:trPr>
          <w:trHeight w:val="118"/>
        </w:trPr>
        <w:tc>
          <w:tcPr>
            <w:tcW w:w="3396" w:type="dxa"/>
            <w:vMerge/>
          </w:tcPr>
          <w:p w14:paraId="2E88DFF1" w14:textId="77777777" w:rsidR="00686D9F" w:rsidRPr="00686D9F" w:rsidRDefault="00686D9F" w:rsidP="00686D9F">
            <w:pPr>
              <w:widowControl w:val="0"/>
              <w:rPr>
                <w:rFonts w:ascii="Times New Roman" w:hAnsi="Times New Roman"/>
                <w:sz w:val="24"/>
                <w:szCs w:val="24"/>
              </w:rPr>
            </w:pPr>
          </w:p>
        </w:tc>
        <w:tc>
          <w:tcPr>
            <w:tcW w:w="6259" w:type="dxa"/>
          </w:tcPr>
          <w:p w14:paraId="5403FBE3" w14:textId="75626844"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 xml:space="preserve">ПК 3.5. Информировать уполномоченные подразделения территориальных органов Министерства внутренних дел и Федеральной службы безопасности Российской Федерации об актах незаконного вмешательства и лицах, застигнутых </w:t>
            </w:r>
            <w:r w:rsidRPr="00686D9F">
              <w:rPr>
                <w:rFonts w:ascii="Times New Roman" w:hAnsi="Times New Roman"/>
                <w:iCs/>
                <w:sz w:val="24"/>
                <w:szCs w:val="24"/>
              </w:rPr>
              <w:lastRenderedPageBreak/>
              <w:t>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w:t>
            </w:r>
          </w:p>
        </w:tc>
      </w:tr>
      <w:tr w:rsidR="00686D9F" w:rsidRPr="00686D9F" w14:paraId="728D63D2" w14:textId="77777777" w:rsidTr="00686D9F">
        <w:trPr>
          <w:trHeight w:val="118"/>
        </w:trPr>
        <w:tc>
          <w:tcPr>
            <w:tcW w:w="3396" w:type="dxa"/>
            <w:vMerge/>
          </w:tcPr>
          <w:p w14:paraId="77D0B928" w14:textId="77777777" w:rsidR="00686D9F" w:rsidRPr="00686D9F" w:rsidRDefault="00686D9F" w:rsidP="00686D9F">
            <w:pPr>
              <w:widowControl w:val="0"/>
              <w:rPr>
                <w:rFonts w:ascii="Times New Roman" w:hAnsi="Times New Roman"/>
                <w:sz w:val="24"/>
                <w:szCs w:val="24"/>
              </w:rPr>
            </w:pPr>
          </w:p>
        </w:tc>
        <w:tc>
          <w:tcPr>
            <w:tcW w:w="6259" w:type="dxa"/>
          </w:tcPr>
          <w:p w14:paraId="1D5C21E7" w14:textId="4F094D65" w:rsidR="00686D9F" w:rsidRPr="00686D9F" w:rsidRDefault="00686D9F" w:rsidP="00686D9F">
            <w:pPr>
              <w:widowControl w:val="0"/>
              <w:ind w:left="139" w:hanging="3"/>
              <w:rPr>
                <w:rFonts w:ascii="Times New Roman" w:hAnsi="Times New Roman"/>
                <w:iCs/>
                <w:sz w:val="24"/>
                <w:szCs w:val="24"/>
              </w:rPr>
            </w:pPr>
            <w:r w:rsidRPr="00686D9F">
              <w:rPr>
                <w:rFonts w:ascii="Times New Roman" w:hAnsi="Times New Roman"/>
                <w:iCs/>
                <w:sz w:val="24"/>
                <w:szCs w:val="24"/>
              </w:rPr>
              <w:t>ПК 3.6. Взаимодействовать с федеральными органами исполнительной власти субъектов Российской Федерации в случае угрозы и (или) совершении актов незаконного вмешательства.</w:t>
            </w:r>
          </w:p>
        </w:tc>
      </w:tr>
    </w:tbl>
    <w:p w14:paraId="2371AEF9" w14:textId="77777777" w:rsidR="00D570F5" w:rsidRPr="00686D9F" w:rsidRDefault="00D570F5" w:rsidP="00686D9F">
      <w:pPr>
        <w:spacing w:line="276" w:lineRule="auto"/>
        <w:jc w:val="both"/>
        <w:rPr>
          <w:rFonts w:ascii="Times New Roman" w:hAnsi="Times New Roman" w:cs="Times New Roman"/>
          <w:i/>
          <w:iCs/>
          <w:shd w:val="clear" w:color="auto" w:fill="FFFFFF"/>
        </w:rPr>
      </w:pPr>
    </w:p>
    <w:p w14:paraId="0132F224" w14:textId="0AF0B0FC" w:rsidR="00D570F5" w:rsidRPr="001244AB" w:rsidRDefault="00C47807" w:rsidP="001E637C">
      <w:pPr>
        <w:suppressAutoHyphens/>
        <w:spacing w:line="276" w:lineRule="auto"/>
        <w:ind w:firstLine="708"/>
        <w:jc w:val="both"/>
        <w:rPr>
          <w:iCs/>
        </w:rPr>
      </w:pPr>
      <w:r w:rsidRPr="001244AB">
        <w:rPr>
          <w:rFonts w:ascii="Times New Roman" w:hAnsi="Times New Roman" w:cs="Times New Roman"/>
          <w:iCs/>
          <w:sz w:val="24"/>
          <w:szCs w:val="24"/>
        </w:rPr>
        <w:t xml:space="preserve">Выпускники, освоившие программу по </w:t>
      </w:r>
      <w:r w:rsidRPr="001244AB">
        <w:rPr>
          <w:rFonts w:ascii="Times New Roman" w:eastAsia="Calibri" w:hAnsi="Times New Roman" w:cs="Times New Roman"/>
          <w:bCs/>
          <w:iCs/>
          <w:sz w:val="24"/>
          <w:szCs w:val="24"/>
        </w:rPr>
        <w:t xml:space="preserve">специальности </w:t>
      </w:r>
      <w:r w:rsidR="001244AB" w:rsidRPr="001244AB">
        <w:rPr>
          <w:rFonts w:ascii="Times New Roman" w:eastAsia="Calibri" w:hAnsi="Times New Roman" w:cs="Times New Roman"/>
          <w:bCs/>
          <w:iCs/>
          <w:sz w:val="24"/>
          <w:szCs w:val="24"/>
        </w:rPr>
        <w:t>25.02.10 Транспортная безопасность воздушного транспорта</w:t>
      </w:r>
      <w:r w:rsidRPr="001244AB">
        <w:rPr>
          <w:rFonts w:ascii="Times New Roman" w:eastAsia="Calibri" w:hAnsi="Times New Roman" w:cs="Times New Roman"/>
          <w:iCs/>
          <w:sz w:val="24"/>
          <w:szCs w:val="24"/>
        </w:rPr>
        <w:t>,</w:t>
      </w:r>
      <w:r w:rsidRPr="001244AB">
        <w:rPr>
          <w:rFonts w:ascii="Times New Roman" w:hAnsi="Times New Roman" w:cs="Times New Roman"/>
          <w:iCs/>
          <w:sz w:val="24"/>
          <w:szCs w:val="24"/>
        </w:rPr>
        <w:t xml:space="preserve"> сдают ГИА в форме государственного экзамена и (или) защиты дипломного проекта (работы</w:t>
      </w:r>
      <w:r w:rsidR="001244AB" w:rsidRPr="001244AB">
        <w:rPr>
          <w:rFonts w:ascii="Times New Roman" w:hAnsi="Times New Roman" w:cs="Times New Roman"/>
          <w:iCs/>
          <w:sz w:val="24"/>
          <w:szCs w:val="24"/>
        </w:rPr>
        <w:t>)</w:t>
      </w:r>
      <w:r w:rsidRPr="001244AB">
        <w:rPr>
          <w:rFonts w:ascii="Times New Roman" w:hAnsi="Times New Roman" w:cs="Times New Roman"/>
          <w:iCs/>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1916435C" w14:textId="7B27EB13" w:rsidR="007B13D6" w:rsidRPr="00B63840" w:rsidRDefault="00E951CE"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206576457"/>
      <w:r w:rsidRPr="00B63840">
        <w:rPr>
          <w:rFonts w:ascii="Times New Roman" w:eastAsia="Times New Roman" w:hAnsi="Times New Roman" w:cs="Times New Roman"/>
          <w:b/>
          <w:bCs/>
          <w:sz w:val="24"/>
          <w:szCs w:val="24"/>
          <w:lang w:eastAsia="zh-CN"/>
        </w:rPr>
        <w:t>Примерн</w:t>
      </w:r>
      <w:r w:rsidR="00B63840" w:rsidRPr="00B63840">
        <w:rPr>
          <w:rFonts w:ascii="Times New Roman" w:eastAsia="Times New Roman" w:hAnsi="Times New Roman" w:cs="Times New Roman"/>
          <w:b/>
          <w:bCs/>
          <w:sz w:val="24"/>
          <w:szCs w:val="24"/>
          <w:lang w:eastAsia="zh-CN"/>
        </w:rPr>
        <w:t>ые</w:t>
      </w:r>
      <w:r w:rsidRPr="00B63840">
        <w:rPr>
          <w:rFonts w:ascii="Times New Roman" w:eastAsia="Times New Roman" w:hAnsi="Times New Roman" w:cs="Times New Roman"/>
          <w:b/>
          <w:bCs/>
          <w:sz w:val="24"/>
          <w:szCs w:val="24"/>
          <w:lang w:eastAsia="zh-CN"/>
        </w:rPr>
        <w:t xml:space="preserve"> </w:t>
      </w:r>
      <w:r w:rsidR="00B63840" w:rsidRPr="00B63840">
        <w:rPr>
          <w:rFonts w:ascii="Times New Roman" w:eastAsia="Times New Roman" w:hAnsi="Times New Roman" w:cs="Times New Roman"/>
          <w:b/>
          <w:bCs/>
          <w:sz w:val="24"/>
          <w:szCs w:val="24"/>
          <w:lang w:eastAsia="zh-CN"/>
        </w:rPr>
        <w:t>требования к</w:t>
      </w:r>
      <w:r w:rsidR="00692697" w:rsidRPr="00B63840">
        <w:rPr>
          <w:rFonts w:ascii="Times New Roman" w:eastAsia="Times New Roman" w:hAnsi="Times New Roman" w:cs="Times New Roman"/>
          <w:b/>
          <w:bCs/>
          <w:sz w:val="24"/>
          <w:szCs w:val="24"/>
          <w:lang w:eastAsia="zh-CN"/>
        </w:rPr>
        <w:t xml:space="preserve"> проведени</w:t>
      </w:r>
      <w:r w:rsidR="00B63840" w:rsidRPr="00B63840">
        <w:rPr>
          <w:rFonts w:ascii="Times New Roman" w:eastAsia="Times New Roman" w:hAnsi="Times New Roman" w:cs="Times New Roman"/>
          <w:b/>
          <w:bCs/>
          <w:sz w:val="24"/>
          <w:szCs w:val="24"/>
          <w:lang w:eastAsia="zh-CN"/>
        </w:rPr>
        <w:t>ю</w:t>
      </w:r>
      <w:r w:rsidR="00692697" w:rsidRPr="00B63840">
        <w:rPr>
          <w:rFonts w:ascii="Times New Roman" w:eastAsia="Times New Roman" w:hAnsi="Times New Roman" w:cs="Times New Roman"/>
          <w:b/>
          <w:bCs/>
          <w:sz w:val="24"/>
          <w:szCs w:val="24"/>
          <w:lang w:eastAsia="zh-CN"/>
        </w:rPr>
        <w:t xml:space="preserve"> государственного экзамена</w:t>
      </w:r>
      <w:bookmarkEnd w:id="5"/>
    </w:p>
    <w:p w14:paraId="7A554D42" w14:textId="5C482CF9" w:rsidR="00427418" w:rsidRDefault="00580A60" w:rsidP="00017641">
      <w:pPr>
        <w:tabs>
          <w:tab w:val="left" w:pos="1134"/>
        </w:tabs>
        <w:ind w:firstLine="709"/>
        <w:jc w:val="both"/>
        <w:rPr>
          <w:rFonts w:ascii="Times New Roman" w:hAnsi="Times New Roman"/>
          <w:sz w:val="24"/>
          <w:szCs w:val="24"/>
        </w:rPr>
      </w:pPr>
      <w:r w:rsidRPr="00580A60">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F8FE715" w14:textId="77777777" w:rsidR="00580A60" w:rsidRPr="00B63840" w:rsidRDefault="00580A60" w:rsidP="00580A60">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EA0D077" w14:textId="77777777" w:rsidR="00580A60" w:rsidRPr="00B63840" w:rsidRDefault="00580A60" w:rsidP="00580A60">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572C3769" w14:textId="19DACF74" w:rsidR="00017641" w:rsidRPr="00B63840" w:rsidRDefault="00017641" w:rsidP="00017641">
      <w:pPr>
        <w:tabs>
          <w:tab w:val="left" w:pos="1134"/>
        </w:tabs>
        <w:ind w:firstLine="709"/>
        <w:jc w:val="both"/>
        <w:rPr>
          <w:sz w:val="24"/>
          <w:szCs w:val="24"/>
          <w:shd w:val="clear" w:color="auto" w:fill="FFFF00"/>
        </w:rPr>
      </w:pPr>
      <w:r w:rsidRPr="00B63840">
        <w:rPr>
          <w:rFonts w:ascii="Times New Roman" w:hAnsi="Times New Roman"/>
          <w:sz w:val="24"/>
          <w:szCs w:val="24"/>
        </w:rPr>
        <w:t xml:space="preserve">Государственный экзамен </w:t>
      </w:r>
      <w:r w:rsidR="00996136" w:rsidRPr="00B63840">
        <w:rPr>
          <w:rFonts w:ascii="Times New Roman" w:hAnsi="Times New Roman"/>
          <w:sz w:val="24"/>
          <w:szCs w:val="24"/>
        </w:rPr>
        <w:t xml:space="preserve">может </w:t>
      </w:r>
      <w:r w:rsidRPr="00B63840">
        <w:rPr>
          <w:rFonts w:ascii="Times New Roman" w:hAnsi="Times New Roman"/>
          <w:sz w:val="24"/>
          <w:szCs w:val="24"/>
        </w:rPr>
        <w:t>проводит</w:t>
      </w:r>
      <w:r w:rsidR="00996136" w:rsidRPr="00B63840">
        <w:rPr>
          <w:rFonts w:ascii="Times New Roman" w:hAnsi="Times New Roman"/>
          <w:sz w:val="24"/>
          <w:szCs w:val="24"/>
        </w:rPr>
        <w:t>ь</w:t>
      </w:r>
      <w:r w:rsidRPr="00B63840">
        <w:rPr>
          <w:rFonts w:ascii="Times New Roman" w:hAnsi="Times New Roman"/>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565690E8" w14:textId="0D8D60C5"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sidR="00580A60" w:rsidRPr="00580A60">
        <w:rPr>
          <w:rFonts w:ascii="Times New Roman" w:hAnsi="Times New Roman"/>
          <w:sz w:val="24"/>
          <w:szCs w:val="24"/>
        </w:rPr>
        <w:t>__</w:t>
      </w:r>
      <w:r w:rsidRPr="00580A60">
        <w:rPr>
          <w:rFonts w:ascii="Times New Roman" w:hAnsi="Times New Roman"/>
          <w:sz w:val="24"/>
          <w:szCs w:val="24"/>
        </w:rPr>
        <w:t xml:space="preserve"> ч</w:t>
      </w:r>
      <w:r w:rsidR="00580A60" w:rsidRPr="00580A60">
        <w:rPr>
          <w:rFonts w:ascii="Times New Roman" w:hAnsi="Times New Roman"/>
          <w:sz w:val="24"/>
          <w:szCs w:val="24"/>
        </w:rPr>
        <w:t>.</w:t>
      </w:r>
      <w:r w:rsidRPr="00580A60">
        <w:rPr>
          <w:rFonts w:ascii="Times New Roman" w:hAnsi="Times New Roman"/>
          <w:sz w:val="24"/>
          <w:szCs w:val="24"/>
        </w:rPr>
        <w:t xml:space="preserve"> (астрономических</w:t>
      </w:r>
      <w:r w:rsidRPr="00B63840">
        <w:rPr>
          <w:rFonts w:ascii="Times New Roman" w:hAnsi="Times New Roman"/>
          <w:sz w:val="24"/>
          <w:szCs w:val="24"/>
        </w:rPr>
        <w:t xml:space="preserve">). </w:t>
      </w:r>
    </w:p>
    <w:p w14:paraId="52020559" w14:textId="03C6203D"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sidR="00580A60">
        <w:rPr>
          <w:rFonts w:ascii="Times New Roman" w:hAnsi="Times New Roman"/>
          <w:sz w:val="24"/>
          <w:szCs w:val="24"/>
        </w:rPr>
        <w:t>__</w:t>
      </w:r>
      <w:r w:rsidRPr="00B63840">
        <w:rPr>
          <w:rFonts w:ascii="Times New Roman" w:hAnsi="Times New Roman"/>
          <w:sz w:val="24"/>
          <w:szCs w:val="24"/>
        </w:rPr>
        <w:t xml:space="preserve"> ч</w:t>
      </w:r>
      <w:r w:rsidR="00580A60">
        <w:rPr>
          <w:rFonts w:ascii="Times New Roman" w:hAnsi="Times New Roman"/>
          <w:sz w:val="24"/>
          <w:szCs w:val="24"/>
        </w:rPr>
        <w:t>.</w:t>
      </w:r>
      <w:r w:rsidRPr="00B63840">
        <w:rPr>
          <w:rFonts w:ascii="Times New Roman" w:hAnsi="Times New Roman"/>
          <w:sz w:val="24"/>
          <w:szCs w:val="24"/>
        </w:rPr>
        <w:t xml:space="preserve"> (астрономический).</w:t>
      </w:r>
    </w:p>
    <w:p w14:paraId="329404D8" w14:textId="1F5EA930" w:rsidR="00017641" w:rsidRPr="00B63840" w:rsidRDefault="00017641" w:rsidP="00017641">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sidR="00580A60">
        <w:rPr>
          <w:rFonts w:ascii="Times New Roman" w:hAnsi="Times New Roman"/>
          <w:sz w:val="24"/>
          <w:szCs w:val="24"/>
        </w:rPr>
        <w:t xml:space="preserve"> __ ч.</w:t>
      </w:r>
      <w:r w:rsidRPr="00B63840">
        <w:rPr>
          <w:rFonts w:ascii="Times New Roman" w:hAnsi="Times New Roman"/>
          <w:sz w:val="24"/>
          <w:szCs w:val="24"/>
        </w:rPr>
        <w:t xml:space="preserve"> (астрономический).</w:t>
      </w:r>
    </w:p>
    <w:p w14:paraId="20DE183D" w14:textId="4143A41B" w:rsidR="00692697" w:rsidRPr="00B63840"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B63840">
        <w:rPr>
          <w:rFonts w:ascii="Times New Roman" w:hAnsi="Times New Roman" w:cs="Times New Roman"/>
          <w:sz w:val="24"/>
          <w:szCs w:val="24"/>
          <w:shd w:val="clear" w:color="auto" w:fill="FFFFFF"/>
          <w:lang w:eastAsia="ru-RU"/>
        </w:rPr>
        <w:t>разрабатываются</w:t>
      </w:r>
      <w:r w:rsidRPr="00B63840">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14:paraId="0C87CAD4" w14:textId="7FD7B15F" w:rsidR="00BA01A8" w:rsidRPr="00B63840" w:rsidRDefault="00BA01A8" w:rsidP="00BA01A8">
      <w:pPr>
        <w:ind w:firstLine="709"/>
        <w:jc w:val="both"/>
        <w:rPr>
          <w:rFonts w:ascii="Times New Roman" w:hAnsi="Times New Roman"/>
          <w:sz w:val="24"/>
          <w:szCs w:val="24"/>
        </w:rPr>
      </w:pPr>
      <w:r w:rsidRPr="00B63840">
        <w:rPr>
          <w:rFonts w:ascii="Times New Roman" w:hAnsi="Times New Roman"/>
          <w:sz w:val="24"/>
          <w:szCs w:val="24"/>
        </w:rPr>
        <w:t xml:space="preserve">Сроки проведения ГИА </w:t>
      </w:r>
      <w:r w:rsidR="00692697" w:rsidRPr="00B63840">
        <w:rPr>
          <w:rFonts w:ascii="Times New Roman" w:hAnsi="Times New Roman"/>
          <w:sz w:val="24"/>
          <w:szCs w:val="24"/>
        </w:rPr>
        <w:t>регламентир</w:t>
      </w:r>
      <w:r w:rsidR="00996136" w:rsidRPr="00B63840">
        <w:rPr>
          <w:rFonts w:ascii="Times New Roman" w:hAnsi="Times New Roman"/>
          <w:sz w:val="24"/>
          <w:szCs w:val="24"/>
        </w:rPr>
        <w:t>уются</w:t>
      </w:r>
      <w:r w:rsidRPr="00B63840">
        <w:rPr>
          <w:rFonts w:ascii="Times New Roman" w:hAnsi="Times New Roman"/>
          <w:sz w:val="24"/>
          <w:szCs w:val="24"/>
        </w:rPr>
        <w:t xml:space="preserve"> образовательной организацией в календарном учебном графике на текущий учебный год.</w:t>
      </w:r>
    </w:p>
    <w:p w14:paraId="6A27B8D9" w14:textId="75B43EEB" w:rsidR="002168EA" w:rsidRPr="00B63840" w:rsidRDefault="00BA01A8" w:rsidP="00B741C6">
      <w:pPr>
        <w:ind w:firstLine="708"/>
        <w:jc w:val="both"/>
        <w:rPr>
          <w:rFonts w:ascii="Times New Roman" w:hAnsi="Times New Roman"/>
          <w:i/>
          <w:iCs/>
          <w:color w:val="0070C0"/>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002168EA" w:rsidRPr="00B63840">
        <w:rPr>
          <w:rFonts w:ascii="Times New Roman" w:hAnsi="Times New Roman"/>
          <w:sz w:val="24"/>
          <w:szCs w:val="24"/>
        </w:rPr>
        <w:t>организаций-партнеров</w:t>
      </w:r>
      <w:r w:rsidRPr="00B63840">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1244AB">
        <w:rPr>
          <w:rFonts w:ascii="Times New Roman" w:hAnsi="Times New Roman"/>
          <w:sz w:val="24"/>
          <w:szCs w:val="24"/>
        </w:rPr>
        <w:t>.</w:t>
      </w:r>
    </w:p>
    <w:p w14:paraId="29D562C6" w14:textId="0FBDAFAC" w:rsidR="00B741C6" w:rsidRPr="00B63840"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sidR="00B63840">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3D382599" w14:textId="76A3C22B"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03A3D1D2" w14:textId="77777777" w:rsidR="00686D9F" w:rsidRDefault="00686D9F" w:rsidP="00686D9F">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43E2F01E" w14:textId="77777777" w:rsidR="00686D9F" w:rsidRDefault="00686D9F" w:rsidP="00686D9F">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BEA4C12" w14:textId="77777777" w:rsidR="00686D9F" w:rsidRDefault="00686D9F" w:rsidP="00686D9F">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5C8A680" w14:textId="742288E2" w:rsidR="0051713F" w:rsidRPr="00686D9F" w:rsidRDefault="00131643" w:rsidP="00686D9F">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206576458"/>
      <w:r w:rsidRPr="00B63840">
        <w:rPr>
          <w:rFonts w:ascii="Times New Roman" w:eastAsia="Times New Roman" w:hAnsi="Times New Roman" w:cs="Times New Roman"/>
          <w:b/>
          <w:bCs/>
          <w:sz w:val="24"/>
          <w:szCs w:val="24"/>
          <w:lang w:eastAsia="zh-CN"/>
        </w:rPr>
        <w:lastRenderedPageBreak/>
        <w:t>Орга</w:t>
      </w:r>
      <w:r w:rsidRPr="00686D9F">
        <w:rPr>
          <w:rFonts w:ascii="Times New Roman" w:eastAsia="Times New Roman" w:hAnsi="Times New Roman" w:cs="Times New Roman"/>
          <w:b/>
          <w:bCs/>
          <w:sz w:val="24"/>
          <w:szCs w:val="24"/>
          <w:lang w:eastAsia="zh-CN"/>
        </w:rPr>
        <w:t>низация и проведение защиты дипломного проекта (работы)</w:t>
      </w:r>
      <w:bookmarkEnd w:id="6"/>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7"/>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4E8F8680" w14:textId="5F780077" w:rsidR="00F041F6" w:rsidRPr="001244AB" w:rsidRDefault="00F041F6" w:rsidP="001244AB">
      <w:pPr>
        <w:suppressAutoHyphens/>
        <w:spacing w:line="276" w:lineRule="auto"/>
        <w:jc w:val="both"/>
        <w:rPr>
          <w:rFonts w:ascii="Times New Roman" w:eastAsia="Times New Roman" w:hAnsi="Times New Roman" w:cs="Times New Roman"/>
          <w:i/>
          <w:iCs/>
          <w:color w:val="0070C0"/>
          <w:sz w:val="24"/>
          <w:szCs w:val="24"/>
          <w:lang w:eastAsia="zh-CN"/>
        </w:rPr>
      </w:pPr>
    </w:p>
    <w:p w14:paraId="5B10C95A" w14:textId="77777777" w:rsidR="00552BFF"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Hlk158217002"/>
      <w:bookmarkStart w:id="9" w:name="_Toc206576459"/>
      <w:r w:rsidRPr="00BC58DA">
        <w:rPr>
          <w:rFonts w:ascii="Times New Roman" w:eastAsia="Times New Roman" w:hAnsi="Times New Roman" w:cs="Times New Roman"/>
          <w:b/>
          <w:bCs/>
          <w:sz w:val="24"/>
          <w:szCs w:val="24"/>
          <w:lang w:eastAsia="zh-CN"/>
        </w:rPr>
        <w:t>Примерная структура программы ГИА</w:t>
      </w:r>
      <w:bookmarkEnd w:id="9"/>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0" w:name="_Toc206576460"/>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bookmarkEnd w:id="10"/>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1" w:name="_Toc206576461"/>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bookmarkEnd w:id="11"/>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2" w:name="_Toc206576462"/>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bookmarkEnd w:id="12"/>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3" w:name="_Toc206576463"/>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bookmarkEnd w:id="13"/>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4" w:name="_Toc206576464"/>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bookmarkEnd w:id="14"/>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15" w:name="_Toc206576465"/>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bookmarkEnd w:id="15"/>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6" w:name="_Toc206576466"/>
      <w:r w:rsidRPr="00BC58DA">
        <w:rPr>
          <w:rFonts w:ascii="Times New Roman" w:eastAsia="Times New Roman" w:hAnsi="Times New Roman" w:cs="Times New Roman"/>
          <w:b/>
          <w:bCs/>
          <w:sz w:val="24"/>
          <w:szCs w:val="24"/>
          <w:lang w:eastAsia="zh-CN"/>
        </w:rPr>
        <w:t>Приложения:</w:t>
      </w:r>
      <w:bookmarkEnd w:id="16"/>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7" w:name="_Toc206576467"/>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bookmarkEnd w:id="17"/>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8" w:name="_Toc206576468"/>
      <w:r w:rsidRPr="00BC58DA">
        <w:rPr>
          <w:rFonts w:ascii="Times New Roman" w:eastAsia="Times New Roman" w:hAnsi="Times New Roman" w:cs="Times New Roman"/>
          <w:sz w:val="24"/>
          <w:szCs w:val="24"/>
          <w:lang w:eastAsia="zh-CN"/>
        </w:rPr>
        <w:t>Оценочные материалы в соответствии со структурой ГЭ</w:t>
      </w:r>
      <w:bookmarkEnd w:id="18"/>
    </w:p>
    <w:bookmarkEnd w:id="8"/>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686D9F">
      <w:headerReference w:type="default" r:id="rId8"/>
      <w:pgSz w:w="11907" w:h="16840"/>
      <w:pgMar w:top="993" w:right="567" w:bottom="993"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6FFAA" w14:textId="77777777" w:rsidR="00B12B32" w:rsidRDefault="00B12B32" w:rsidP="00A858FE">
      <w:r>
        <w:separator/>
      </w:r>
    </w:p>
  </w:endnote>
  <w:endnote w:type="continuationSeparator" w:id="0">
    <w:p w14:paraId="7770AF5B" w14:textId="77777777" w:rsidR="00B12B32" w:rsidRDefault="00B12B3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D0E9" w14:textId="77777777" w:rsidR="00B12B32" w:rsidRDefault="00B12B32" w:rsidP="00A858FE">
      <w:r>
        <w:separator/>
      </w:r>
    </w:p>
  </w:footnote>
  <w:footnote w:type="continuationSeparator" w:id="0">
    <w:p w14:paraId="49E3C367" w14:textId="77777777" w:rsidR="00B12B32" w:rsidRDefault="00B12B32"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647A9F">
          <w:rPr>
            <w:rFonts w:ascii="Times New Roman" w:hAnsi="Times New Roman" w:cs="Times New Roman"/>
            <w:noProof/>
            <w:sz w:val="24"/>
            <w:szCs w:val="24"/>
          </w:rPr>
          <w:t>5</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AB"/>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105E"/>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47A9F"/>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86D9F"/>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2B32"/>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E0C8EC8F-9042-4DC7-B325-5938E865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895C4-F6F8-49E4-96B6-5DC3BA9C9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1808</Words>
  <Characters>10307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Дрогина Антонина Сергеевна</cp:lastModifiedBy>
  <cp:revision>2</cp:revision>
  <cp:lastPrinted>2023-04-28T08:44:00Z</cp:lastPrinted>
  <dcterms:created xsi:type="dcterms:W3CDTF">2025-08-20T07:01:00Z</dcterms:created>
  <dcterms:modified xsi:type="dcterms:W3CDTF">2025-08-20T07:01:00Z</dcterms:modified>
</cp:coreProperties>
</file>