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973616"/>
    <w:p w14:paraId="1B2CEF71" w14:textId="77777777" w:rsidR="0006342A" w:rsidRDefault="00DD26A4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1597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2CB82C70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08D905E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1E82B28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 w:rsidP="008E4700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 w:rsidP="008E4700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110BBEB4" w14:textId="255AE1F8" w:rsidR="008E4700" w:rsidRPr="008E4700" w:rsidRDefault="00DD26A4" w:rsidP="008E4700">
      <w:pPr>
        <w:tabs>
          <w:tab w:val="left" w:pos="2835"/>
        </w:tabs>
        <w:spacing w:line="276" w:lineRule="auto"/>
        <w:jc w:val="center"/>
        <w:rPr>
          <w:b/>
          <w:bCs/>
          <w:i/>
          <w:color w:val="00B050"/>
          <w:sz w:val="28"/>
          <w:u w:val="single"/>
        </w:rPr>
      </w:pPr>
      <w:r>
        <w:rPr>
          <w:sz w:val="28"/>
        </w:rPr>
        <w:t xml:space="preserve">ПО СПЕЦИАЛЬНОСТИ </w:t>
      </w:r>
      <w:r w:rsidR="008E4700">
        <w:rPr>
          <w:sz w:val="28"/>
        </w:rPr>
        <w:br/>
      </w:r>
      <w:r w:rsidR="008E4700" w:rsidRPr="008E4700">
        <w:rPr>
          <w:iCs/>
          <w:color w:val="auto"/>
          <w:sz w:val="28"/>
        </w:rPr>
        <w:t>22.02.ХХ</w:t>
      </w:r>
      <w:r w:rsidR="00662E36">
        <w:rPr>
          <w:iCs/>
          <w:color w:val="auto"/>
          <w:sz w:val="28"/>
        </w:rPr>
        <w:t>(11)</w:t>
      </w:r>
      <w:r w:rsidR="008E4700" w:rsidRPr="008E4700">
        <w:rPr>
          <w:iCs/>
          <w:color w:val="auto"/>
          <w:sz w:val="28"/>
        </w:rPr>
        <w:t xml:space="preserve"> ОБРАБОТКА МЕТАЛЛОВ</w:t>
      </w:r>
      <w:r w:rsidR="008E4700">
        <w:rPr>
          <w:iCs/>
          <w:color w:val="auto"/>
          <w:sz w:val="28"/>
        </w:rPr>
        <w:t xml:space="preserve"> </w:t>
      </w:r>
      <w:r w:rsidR="008E4700" w:rsidRPr="008E4700">
        <w:rPr>
          <w:iCs/>
          <w:color w:val="auto"/>
          <w:sz w:val="28"/>
        </w:rPr>
        <w:t>В МЕТАЛЛУРГИЧЕСКОМ ПРОИЗВОДСТВЕ</w:t>
      </w:r>
    </w:p>
    <w:p w14:paraId="259007A7" w14:textId="0A9FC6A7" w:rsidR="0006342A" w:rsidRDefault="0006342A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9C4E3B" w14:textId="7E89CC83" w:rsidR="0006342A" w:rsidRPr="001E47C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 w:rsidR="001E47C1" w:rsidRPr="001E47C1">
        <w:rPr>
          <w:iCs/>
          <w:color w:val="auto"/>
          <w:sz w:val="28"/>
        </w:rPr>
        <w:t>22.02.ХХ</w:t>
      </w:r>
      <w:r w:rsidR="00662E36">
        <w:rPr>
          <w:iCs/>
          <w:color w:val="auto"/>
          <w:sz w:val="28"/>
        </w:rPr>
        <w:t>(11)</w:t>
      </w:r>
      <w:r w:rsidR="001E47C1" w:rsidRPr="001E47C1">
        <w:rPr>
          <w:iCs/>
          <w:color w:val="auto"/>
          <w:sz w:val="28"/>
        </w:rPr>
        <w:t xml:space="preserve"> Обработка металлов в металлургическом производстве</w:t>
      </w:r>
      <w:r w:rsidRPr="001E47C1">
        <w:rPr>
          <w:color w:val="auto"/>
          <w:sz w:val="28"/>
        </w:rPr>
        <w:t xml:space="preserve"> </w:t>
      </w:r>
      <w:r>
        <w:rPr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1E47C1">
        <w:rPr>
          <w:iCs/>
          <w:color w:val="auto"/>
          <w:sz w:val="28"/>
        </w:rPr>
        <w:t>в соответствии с квалификацией специалиста среднего звена «</w:t>
      </w:r>
      <w:r w:rsidR="001E47C1" w:rsidRPr="001E47C1">
        <w:rPr>
          <w:iCs/>
          <w:color w:val="auto"/>
          <w:sz w:val="28"/>
        </w:rPr>
        <w:t>техник</w:t>
      </w:r>
      <w:r w:rsidRPr="001E47C1">
        <w:rPr>
          <w:iCs/>
          <w:color w:val="auto"/>
          <w:sz w:val="28"/>
        </w:rPr>
        <w:t>»</w:t>
      </w:r>
      <w:r w:rsidRPr="001E47C1">
        <w:rPr>
          <w:iCs/>
          <w:color w:val="auto"/>
          <w:sz w:val="28"/>
          <w:vertAlign w:val="superscript"/>
        </w:rPr>
        <w:t xml:space="preserve"> </w:t>
      </w:r>
      <w:r w:rsidRPr="001E47C1">
        <w:rPr>
          <w:iCs/>
          <w:color w:val="auto"/>
          <w:sz w:val="28"/>
          <w:vertAlign w:val="superscript"/>
        </w:rPr>
        <w:footnoteReference w:id="1"/>
      </w:r>
      <w:r w:rsidRPr="001E47C1">
        <w:rPr>
          <w:iCs/>
          <w:color w:val="auto"/>
          <w:sz w:val="28"/>
        </w:rPr>
        <w:t xml:space="preserve">. </w:t>
      </w:r>
      <w:bookmarkEnd w:id="1"/>
    </w:p>
    <w:p w14:paraId="2A7236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1AE6E32B" w14:textId="022B65A9" w:rsidR="0006342A" w:rsidRPr="001E47C1" w:rsidRDefault="00DD26A4" w:rsidP="001E47C1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1E47C1">
        <w:rPr>
          <w:sz w:val="28"/>
          <w:highlight w:val="white"/>
        </w:rPr>
        <w:t xml:space="preserve">1.3. </w:t>
      </w:r>
      <w:r w:rsidRPr="001E47C1">
        <w:rPr>
          <w:sz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 w:rsidRPr="001E47C1">
        <w:rPr>
          <w:sz w:val="28"/>
        </w:rPr>
        <w:lastRenderedPageBreak/>
        <w:t>образования</w:t>
      </w:r>
      <w:r w:rsidRPr="001E47C1">
        <w:rPr>
          <w:sz w:val="28"/>
          <w:vertAlign w:val="superscript"/>
        </w:rPr>
        <w:footnoteReference w:id="2"/>
      </w:r>
      <w:r w:rsidR="00C86F6D" w:rsidRPr="001E47C1">
        <w:rPr>
          <w:sz w:val="28"/>
        </w:rPr>
        <w:t xml:space="preserve">, </w:t>
      </w:r>
      <w:r w:rsidRPr="001E47C1">
        <w:rPr>
          <w:sz w:val="28"/>
        </w:rPr>
        <w:t>ФГОС СПО</w:t>
      </w:r>
      <w:r w:rsidRPr="001E47C1">
        <w:t xml:space="preserve"> </w:t>
      </w:r>
      <w:r w:rsidRPr="001E47C1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26A5BAF8" w14:textId="7367C5BE" w:rsidR="0006342A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>
        <w:rPr>
          <w:sz w:val="28"/>
        </w:rPr>
        <w:t xml:space="preserve">1.4. </w:t>
      </w:r>
      <w:bookmarkStart w:id="5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 xml:space="preserve">в очной, </w:t>
      </w:r>
      <w:r w:rsidRPr="001E47C1">
        <w:rPr>
          <w:iCs/>
          <w:sz w:val="28"/>
        </w:rPr>
        <w:t>очно-заочной и заочной формах</w:t>
      </w:r>
      <w:r w:rsidRPr="001E47C1">
        <w:rPr>
          <w:i/>
          <w:sz w:val="28"/>
        </w:rPr>
        <w:t xml:space="preserve"> </w:t>
      </w:r>
      <w:r w:rsidRPr="001E47C1">
        <w:rPr>
          <w:sz w:val="28"/>
        </w:rPr>
        <w:t>обучения</w:t>
      </w:r>
      <w:bookmarkEnd w:id="6"/>
      <w:r w:rsidR="001E47C1">
        <w:rPr>
          <w:sz w:val="28"/>
        </w:rPr>
        <w:t>.</w:t>
      </w:r>
    </w:p>
    <w:bookmarkEnd w:id="5"/>
    <w:p w14:paraId="3F028779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9E1819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1B35D65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7B6BFEC6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52DC5DDA" w:rsidR="0006342A" w:rsidRPr="001E47C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>
        <w:rPr>
          <w:sz w:val="28"/>
        </w:rPr>
        <w:t>на базе среднего общего образования –</w:t>
      </w:r>
      <w:r w:rsidRPr="001E47C1">
        <w:rPr>
          <w:iCs/>
          <w:color w:val="auto"/>
          <w:sz w:val="28"/>
        </w:rPr>
        <w:t>2 года 10 месяцев;</w:t>
      </w:r>
    </w:p>
    <w:p w14:paraId="703A78D3" w14:textId="5F81FB40" w:rsidR="0006342A" w:rsidRPr="001E47C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1E47C1">
        <w:rPr>
          <w:iCs/>
          <w:color w:val="auto"/>
          <w:sz w:val="28"/>
        </w:rPr>
        <w:t>на базе основного общего образования –3 года 10 месяцев.</w:t>
      </w:r>
    </w:p>
    <w:bookmarkEnd w:id="7"/>
    <w:p w14:paraId="0E3A2A92" w14:textId="0CD03E58" w:rsidR="0006342A" w:rsidRPr="001E47C1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 w:rsidRPr="001E47C1"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1E47C1">
          <w:rPr>
            <w:rStyle w:val="aff2"/>
            <w:iCs/>
            <w:color w:val="000000"/>
            <w:sz w:val="28"/>
            <w:u w:val="none"/>
          </w:rPr>
          <w:t>очно-заочной и заочной формах</w:t>
        </w:r>
      </w:hyperlink>
      <w:r w:rsidRPr="001E47C1">
        <w:rPr>
          <w:iCs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687FD6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</w:t>
      </w:r>
      <w:r w:rsidRPr="001E47C1">
        <w:rPr>
          <w:sz w:val="28"/>
        </w:rPr>
        <w:t xml:space="preserve">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1E47C1">
          <w:rPr>
            <w:rStyle w:val="aff2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1E47C1">
        <w:rPr>
          <w:sz w:val="28"/>
        </w:rPr>
        <w:t>, а также по индивидуальному учебно</w:t>
      </w:r>
      <w:r>
        <w:rPr>
          <w:sz w:val="28"/>
        </w:rPr>
        <w:t>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1E47C1" w:rsidRDefault="00DD26A4">
      <w:pPr>
        <w:spacing w:line="360" w:lineRule="auto"/>
        <w:ind w:firstLine="709"/>
        <w:jc w:val="both"/>
        <w:rPr>
          <w:iCs/>
          <w:sz w:val="28"/>
        </w:rPr>
      </w:pPr>
      <w:r w:rsidRPr="001E47C1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1E47C1">
        <w:rPr>
          <w:iCs/>
          <w:sz w:val="28"/>
        </w:rPr>
        <w:br/>
        <w:t xml:space="preserve">новой образовательной технологии конструирования образовательных программ </w:t>
      </w:r>
      <w:r w:rsidRPr="001E47C1">
        <w:rPr>
          <w:iCs/>
          <w:sz w:val="28"/>
        </w:rPr>
        <w:lastRenderedPageBreak/>
        <w:t>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 w:rsidRPr="001E47C1">
        <w:rPr>
          <w:rStyle w:val="aa"/>
          <w:iCs/>
          <w:sz w:val="28"/>
        </w:rPr>
        <w:footnoteReference w:id="5"/>
      </w:r>
      <w:r w:rsidRPr="001E47C1">
        <w:rPr>
          <w:iCs/>
          <w:sz w:val="28"/>
        </w:rPr>
        <w:t xml:space="preserve">. </w:t>
      </w:r>
    </w:p>
    <w:p w14:paraId="4EF67D35" w14:textId="3071704C" w:rsidR="0006342A" w:rsidRDefault="00DD26A4">
      <w:pPr>
        <w:spacing w:line="360" w:lineRule="auto"/>
        <w:ind w:firstLine="709"/>
        <w:jc w:val="both"/>
        <w:rPr>
          <w:color w:val="00B050"/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1E47C1" w:rsidRPr="001E47C1">
        <w:rPr>
          <w:iCs/>
          <w:color w:val="auto"/>
          <w:sz w:val="28"/>
        </w:rPr>
        <w:t>27 Металлургическое производство.</w:t>
      </w:r>
    </w:p>
    <w:p w14:paraId="612E3B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8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0AEDD34D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1E47C1">
        <w:rPr>
          <w:iCs/>
          <w:color w:val="auto"/>
          <w:sz w:val="28"/>
        </w:rPr>
        <w:t>конкретизирует содержание программы путем ориентации на виды деятельности,</w:t>
      </w:r>
      <w:r w:rsidRPr="001E47C1">
        <w:rPr>
          <w:color w:val="auto"/>
          <w:sz w:val="28"/>
        </w:rPr>
        <w:t xml:space="preserve"> </w:t>
      </w:r>
      <w:r>
        <w:rPr>
          <w:sz w:val="28"/>
        </w:rPr>
        <w:t xml:space="preserve">с учетом соответствующей ПОП. </w:t>
      </w:r>
    </w:p>
    <w:bookmarkEnd w:id="9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15"/>
      </w:tblGrid>
      <w:tr w:rsidR="001E47C1" w:rsidRPr="001E47C1" w14:paraId="430EA345" w14:textId="77777777" w:rsidTr="001E47C1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1E47C1" w:rsidRPr="001E47C1" w:rsidRDefault="001E47C1">
            <w:pPr>
              <w:jc w:val="center"/>
              <w:rPr>
                <w:sz w:val="28"/>
              </w:rPr>
            </w:pPr>
            <w:r w:rsidRPr="001E47C1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5A10" w14:textId="69A82D32" w:rsidR="001E47C1" w:rsidRPr="001E47C1" w:rsidRDefault="001E47C1" w:rsidP="001E47C1">
            <w:pPr>
              <w:jc w:val="center"/>
              <w:rPr>
                <w:color w:val="00B050"/>
                <w:sz w:val="28"/>
              </w:rPr>
            </w:pPr>
            <w:r w:rsidRPr="001E47C1"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1E47C1" w:rsidRPr="001E47C1" w14:paraId="4D51356B" w14:textId="77777777" w:rsidTr="001E47C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1E47C1" w:rsidRPr="001E47C1" w:rsidRDefault="001E47C1">
            <w:pPr>
              <w:rPr>
                <w:sz w:val="28"/>
              </w:rPr>
            </w:pPr>
            <w:r w:rsidRPr="001E47C1">
              <w:rPr>
                <w:sz w:val="28"/>
              </w:rPr>
              <w:t>Дисциплины (модули)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Не менее  2052</w:t>
            </w:r>
          </w:p>
        </w:tc>
      </w:tr>
      <w:tr w:rsidR="001E47C1" w:rsidRPr="001E47C1" w14:paraId="1E223430" w14:textId="77777777" w:rsidTr="001E47C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1E47C1" w:rsidRPr="001E47C1" w:rsidRDefault="001E47C1">
            <w:pPr>
              <w:rPr>
                <w:sz w:val="28"/>
              </w:rPr>
            </w:pPr>
            <w:r w:rsidRPr="001E47C1">
              <w:rPr>
                <w:sz w:val="28"/>
              </w:rPr>
              <w:t>Практика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1E47C1" w:rsidRPr="001E47C1" w14:paraId="1E178AD9" w14:textId="77777777" w:rsidTr="001E47C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1E47C1" w:rsidRPr="001E47C1" w:rsidRDefault="001E47C1">
            <w:pPr>
              <w:rPr>
                <w:sz w:val="28"/>
              </w:rPr>
            </w:pPr>
            <w:r w:rsidRPr="001E47C1">
              <w:rPr>
                <w:sz w:val="28"/>
              </w:rPr>
              <w:lastRenderedPageBreak/>
              <w:t>Государственная итоговая аттестация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1E47C1" w:rsidRPr="001E47C1" w14:paraId="0C518B67" w14:textId="77777777" w:rsidTr="001E47C1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1E47C1" w:rsidRPr="001E47C1" w14:paraId="1EF50505" w14:textId="77777777" w:rsidTr="001E47C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1E47C1" w:rsidRPr="001E47C1" w:rsidRDefault="001E47C1">
            <w:pPr>
              <w:rPr>
                <w:sz w:val="28"/>
              </w:rPr>
            </w:pPr>
            <w:r w:rsidRPr="001E47C1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1E47C1" w:rsidRPr="001E47C1" w14:paraId="0424320C" w14:textId="77777777" w:rsidTr="001E47C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1A5365F7" w:rsidR="001E47C1" w:rsidRPr="001E47C1" w:rsidRDefault="001E47C1">
            <w:pPr>
              <w:rPr>
                <w:sz w:val="28"/>
              </w:rPr>
            </w:pPr>
            <w:bookmarkStart w:id="11" w:name="_Hlk106371108"/>
            <w:r w:rsidRPr="001E47C1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1E47C1" w:rsidRPr="001E47C1" w:rsidRDefault="001E47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1E47C1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BA0A39D" w14:textId="77777777" w:rsidR="0006342A" w:rsidRDefault="0006342A">
      <w:pPr>
        <w:jc w:val="center"/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5D85840" w14:textId="298B709A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47BE62F2" w14:textId="656B9E62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2" w:name="_Hlk69228791"/>
      <w:r>
        <w:rPr>
          <w:sz w:val="28"/>
        </w:rPr>
        <w:t xml:space="preserve">Вариативная часть образовательной программы объемом не менее </w:t>
      </w:r>
      <w:r w:rsidRPr="001E47C1">
        <w:rPr>
          <w:iCs/>
          <w:sz w:val="28"/>
        </w:rPr>
        <w:t>30</w:t>
      </w:r>
      <w:r>
        <w:rPr>
          <w:i/>
          <w:sz w:val="28"/>
        </w:rPr>
        <w:t xml:space="preserve"> </w:t>
      </w:r>
      <w:bookmarkEnd w:id="12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3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2829080" w14:textId="0C32F96F" w:rsidR="0006342A" w:rsidRPr="001E47C1" w:rsidRDefault="001E47C1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6" w:name="_Hlk68260210"/>
      <w:bookmarkEnd w:id="15"/>
      <w:r w:rsidRPr="001E47C1">
        <w:rPr>
          <w:bCs/>
          <w:iCs/>
          <w:color w:val="auto"/>
          <w:sz w:val="28"/>
        </w:rPr>
        <w:t>обеспечение работоспособности оборудования прокатного производства</w:t>
      </w:r>
      <w:r w:rsidR="00DD26A4" w:rsidRPr="001E47C1">
        <w:rPr>
          <w:iCs/>
          <w:color w:val="auto"/>
          <w:sz w:val="28"/>
        </w:rPr>
        <w:t>;</w:t>
      </w:r>
    </w:p>
    <w:p w14:paraId="05EE3F18" w14:textId="23CBB74B" w:rsidR="0006342A" w:rsidRPr="001E47C1" w:rsidRDefault="001E47C1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1E47C1">
        <w:rPr>
          <w:bCs/>
          <w:iCs/>
          <w:color w:val="auto"/>
          <w:sz w:val="28"/>
        </w:rPr>
        <w:t>ведение технологического процесса термической обработки металлов (по выбору)</w:t>
      </w:r>
      <w:r w:rsidR="00DD26A4" w:rsidRPr="001E47C1">
        <w:rPr>
          <w:iCs/>
          <w:color w:val="auto"/>
          <w:sz w:val="28"/>
        </w:rPr>
        <w:t>;</w:t>
      </w:r>
    </w:p>
    <w:p w14:paraId="0A18419D" w14:textId="537779BA" w:rsidR="001E47C1" w:rsidRPr="001E47C1" w:rsidRDefault="001E47C1">
      <w:pPr>
        <w:spacing w:line="360" w:lineRule="auto"/>
        <w:ind w:firstLine="709"/>
        <w:jc w:val="both"/>
        <w:rPr>
          <w:bCs/>
          <w:iCs/>
          <w:color w:val="auto"/>
          <w:sz w:val="28"/>
        </w:rPr>
      </w:pPr>
      <w:r w:rsidRPr="001E47C1">
        <w:rPr>
          <w:bCs/>
          <w:iCs/>
          <w:color w:val="auto"/>
          <w:sz w:val="28"/>
        </w:rPr>
        <w:t>ведение технологического процесса термической обработки металлов (по выбору);</w:t>
      </w:r>
    </w:p>
    <w:p w14:paraId="6667BF07" w14:textId="03B9FBAC" w:rsidR="0006342A" w:rsidRPr="001E47C1" w:rsidRDefault="001E47C1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1E47C1">
        <w:rPr>
          <w:bCs/>
          <w:iCs/>
          <w:color w:val="auto"/>
          <w:sz w:val="28"/>
        </w:rPr>
        <w:t>ведение технологического процесса производства горячего и холодного проката (по выбору)</w:t>
      </w:r>
      <w:r w:rsidR="00DD26A4" w:rsidRPr="001E47C1">
        <w:rPr>
          <w:iCs/>
          <w:color w:val="auto"/>
          <w:sz w:val="28"/>
        </w:rPr>
        <w:t>.</w:t>
      </w:r>
    </w:p>
    <w:p w14:paraId="351858F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17" w:name="_Hlk106372743"/>
      <w:bookmarkEnd w:id="16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7"/>
    <w:p w14:paraId="0219EB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8" w:name="_Hlk67404873"/>
      <w:r>
        <w:rPr>
          <w:sz w:val="28"/>
        </w:rPr>
        <w:t xml:space="preserve"> – </w:t>
      </w:r>
      <w:bookmarkEnd w:id="18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77777777" w:rsidR="0006342A" w:rsidRPr="001E47C1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1E47C1">
        <w:rPr>
          <w:iCs/>
          <w:sz w:val="28"/>
        </w:rPr>
        <w:t>не менее 25 процентов – в очно-заочной форме обучения, не менее 10 процентов – в заочной форме обучения.</w:t>
      </w:r>
    </w:p>
    <w:p w14:paraId="1AC264B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4B30414E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9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9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</w:t>
      </w:r>
      <w:r w:rsidRPr="001E47C1">
        <w:rPr>
          <w:iCs/>
          <w:sz w:val="28"/>
        </w:rPr>
        <w:t>«Основы финансовой грамотности»</w:t>
      </w:r>
      <w:bookmarkStart w:id="20" w:name="_Hlk54863830"/>
      <w:bookmarkStart w:id="21" w:name="_Hlk66867577"/>
      <w:bookmarkStart w:id="22" w:name="_Hlk54863700"/>
      <w:r w:rsidR="001E47C1" w:rsidRPr="001E47C1">
        <w:rPr>
          <w:iCs/>
          <w:sz w:val="28"/>
        </w:rPr>
        <w:t>.</w:t>
      </w:r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20"/>
      <w:r>
        <w:rPr>
          <w:sz w:val="28"/>
        </w:rPr>
        <w:t xml:space="preserve">, </w:t>
      </w:r>
      <w:bookmarkStart w:id="23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4" w:name="_Hlk76570418"/>
      <w:bookmarkEnd w:id="21"/>
      <w:bookmarkEnd w:id="23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2"/>
    <w:bookmarkEnd w:id="24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FAA9749" w14:textId="7ED66F74" w:rsidR="0006342A" w:rsidRPr="000361BE" w:rsidRDefault="00DD26A4" w:rsidP="001E47C1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2.8. </w:t>
      </w:r>
      <w:bookmarkStart w:id="25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r w:rsidRPr="005C1362">
        <w:rPr>
          <w:iCs/>
          <w:color w:val="auto"/>
          <w:sz w:val="28"/>
        </w:rPr>
        <w:t>«</w:t>
      </w:r>
      <w:r w:rsidR="001E47C1" w:rsidRPr="005C1362">
        <w:rPr>
          <w:iCs/>
          <w:color w:val="auto"/>
          <w:sz w:val="28"/>
        </w:rPr>
        <w:t>Материаловедение», «Охрана труда и бережливое производство», «Электротехника», «Теплотехника», «Техническая механика», «Основы металлургического производства</w:t>
      </w:r>
      <w:r w:rsidR="000361BE" w:rsidRPr="005C1362">
        <w:rPr>
          <w:iCs/>
          <w:color w:val="auto"/>
          <w:sz w:val="28"/>
        </w:rPr>
        <w:t>», «</w:t>
      </w:r>
      <w:r w:rsidR="001E47C1" w:rsidRPr="005C1362">
        <w:rPr>
          <w:iCs/>
          <w:color w:val="auto"/>
          <w:sz w:val="28"/>
        </w:rPr>
        <w:t>Основы обработки металлов давлением</w:t>
      </w:r>
      <w:r w:rsidR="000361BE" w:rsidRPr="005C1362">
        <w:rPr>
          <w:iCs/>
          <w:color w:val="auto"/>
          <w:sz w:val="28"/>
        </w:rPr>
        <w:t>», «</w:t>
      </w:r>
      <w:r w:rsidR="001E47C1" w:rsidRPr="005C1362">
        <w:rPr>
          <w:iCs/>
          <w:color w:val="auto"/>
          <w:sz w:val="28"/>
        </w:rPr>
        <w:t>Основы термической обработки металлов и сплавов</w:t>
      </w:r>
      <w:r w:rsidR="000361BE" w:rsidRPr="005C1362">
        <w:rPr>
          <w:iCs/>
          <w:color w:val="auto"/>
          <w:sz w:val="28"/>
        </w:rPr>
        <w:t>», «</w:t>
      </w:r>
      <w:r w:rsidR="001E47C1" w:rsidRPr="005C1362">
        <w:rPr>
          <w:iCs/>
          <w:color w:val="auto"/>
          <w:sz w:val="28"/>
        </w:rPr>
        <w:t>Информационные технологии в профессиональной деятельности</w:t>
      </w:r>
      <w:r w:rsidR="000361BE" w:rsidRPr="005C1362">
        <w:rPr>
          <w:iCs/>
          <w:color w:val="auto"/>
          <w:sz w:val="28"/>
        </w:rPr>
        <w:t>», «</w:t>
      </w:r>
      <w:r w:rsidR="001E47C1" w:rsidRPr="005C1362">
        <w:rPr>
          <w:iCs/>
          <w:color w:val="auto"/>
          <w:sz w:val="28"/>
        </w:rPr>
        <w:t>Экономика и управление</w:t>
      </w:r>
      <w:r w:rsidR="000361BE" w:rsidRPr="005C1362">
        <w:rPr>
          <w:iCs/>
          <w:color w:val="auto"/>
          <w:sz w:val="28"/>
        </w:rPr>
        <w:t>», «</w:t>
      </w:r>
      <w:r w:rsidR="001E47C1" w:rsidRPr="005C1362">
        <w:rPr>
          <w:iCs/>
          <w:color w:val="auto"/>
          <w:sz w:val="28"/>
        </w:rPr>
        <w:t>Инженерная графика</w:t>
      </w:r>
      <w:r w:rsidR="000361BE" w:rsidRPr="005C1362">
        <w:rPr>
          <w:iCs/>
          <w:color w:val="auto"/>
          <w:sz w:val="28"/>
        </w:rPr>
        <w:t>».</w:t>
      </w:r>
    </w:p>
    <w:bookmarkEnd w:id="25"/>
    <w:p w14:paraId="450C2ACD" w14:textId="2A1002C3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6" w:name="_Hlk69229240"/>
      <w:bookmarkStart w:id="27" w:name="_Hlk69229113"/>
      <w:r w:rsidRPr="00D66487">
        <w:rPr>
          <w:iCs/>
          <w:sz w:val="28"/>
        </w:rPr>
        <w:t xml:space="preserve">выбранными </w:t>
      </w:r>
      <w:bookmarkEnd w:id="26"/>
      <w:r>
        <w:rPr>
          <w:sz w:val="28"/>
        </w:rPr>
        <w:t>видами деятельности</w:t>
      </w:r>
      <w:bookmarkEnd w:id="27"/>
      <w:r>
        <w:rPr>
          <w:sz w:val="28"/>
        </w:rPr>
        <w:t xml:space="preserve">, </w:t>
      </w:r>
      <w:bookmarkStart w:id="28" w:name="_Hlk69229214"/>
      <w:r>
        <w:rPr>
          <w:sz w:val="28"/>
        </w:rPr>
        <w:t>предусмотренными пунктом 2.4 ФГОС СПО</w:t>
      </w:r>
      <w:bookmarkEnd w:id="28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9" w:name="_Hlk75506841"/>
      <w:r>
        <w:rPr>
          <w:sz w:val="28"/>
        </w:rPr>
        <w:t xml:space="preserve">Объем профессионального модуля составляет не </w:t>
      </w:r>
      <w:bookmarkStart w:id="30" w:name="_Hlk83908434"/>
      <w:r>
        <w:rPr>
          <w:sz w:val="28"/>
        </w:rPr>
        <w:t xml:space="preserve">менее </w:t>
      </w:r>
      <w:r w:rsidRPr="000361BE"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30"/>
    </w:p>
    <w:bookmarkEnd w:id="29"/>
    <w:p w14:paraId="7ED2E5D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1" w:name="_Hlk54864155"/>
      <w:r>
        <w:rPr>
          <w:sz w:val="28"/>
        </w:rPr>
        <w:t xml:space="preserve">которые реализуются в форме </w:t>
      </w:r>
      <w:r>
        <w:rPr>
          <w:sz w:val="28"/>
        </w:rPr>
        <w:lastRenderedPageBreak/>
        <w:t xml:space="preserve">практической подготовки. </w:t>
      </w:r>
      <w:bookmarkEnd w:id="31"/>
      <w:r>
        <w:rPr>
          <w:sz w:val="28"/>
        </w:rPr>
        <w:t>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2" w:name="_Hlk95992112"/>
    </w:p>
    <w:p w14:paraId="54291A1A" w14:textId="77777777" w:rsidR="0006342A" w:rsidRPr="000361BE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3" w:name="Дипломная_работа"/>
      <w:r w:rsidRPr="000361BE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0361BE">
          <w:rPr>
            <w:rStyle w:val="aff2"/>
            <w:color w:val="auto"/>
            <w:sz w:val="28"/>
            <w:u w:val="none"/>
          </w:rPr>
          <w:t>(работы)</w:t>
        </w:r>
        <w:bookmarkEnd w:id="33"/>
      </w:hyperlink>
      <w:r w:rsidRPr="000361BE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34" w:name="_Hlk69227638"/>
      <w:r>
        <w:rPr>
          <w:sz w:val="28"/>
        </w:rPr>
        <w:t xml:space="preserve">2.13. </w:t>
      </w:r>
      <w:bookmarkEnd w:id="32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5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4"/>
    <w:bookmarkEnd w:id="35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2805217"/>
      <w:bookmarkStart w:id="37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86E70C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6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</w:t>
      </w:r>
      <w:r w:rsidRPr="00D74FBC">
        <w:rPr>
          <w:iCs/>
          <w:color w:val="auto"/>
          <w:sz w:val="28"/>
        </w:rPr>
        <w:t>выбранным</w:t>
      </w:r>
      <w:r>
        <w:rPr>
          <w:i/>
          <w:color w:val="00B050"/>
          <w:sz w:val="28"/>
        </w:rPr>
        <w:t xml:space="preserve"> </w:t>
      </w:r>
      <w:r>
        <w:rPr>
          <w:sz w:val="28"/>
        </w:rPr>
        <w:t xml:space="preserve">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8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06342A" w14:paraId="08E3DB4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Default="00DD26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14:paraId="39F5408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6342A" w14:paraId="7BFBE38C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2D5B6BE9" w:rsidR="0006342A" w:rsidRPr="00B602AB" w:rsidRDefault="00D74FBC">
            <w:pPr>
              <w:pStyle w:val="ConsPlusNormal"/>
              <w:spacing w:line="276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bookmarkStart w:id="39" w:name="_Hlk180766482"/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обеспечение работоспособности оборудования прокатного производства</w:t>
            </w:r>
            <w:bookmarkEnd w:id="39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051E4" w14:textId="7E7B078D" w:rsidR="0006342A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ПК 1.1. Определять готовность к работе основного и вспомогательного оборудования</w:t>
            </w:r>
            <w:r w:rsid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.</w:t>
            </w:r>
          </w:p>
          <w:p w14:paraId="1DA8F070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B602AB">
              <w:rPr>
                <w:rFonts w:ascii="Times New Roman" w:eastAsia="Calibri" w:hAnsi="Times New Roman"/>
                <w:bCs/>
                <w:iCs/>
                <w:color w:val="auto"/>
                <w:sz w:val="28"/>
                <w:szCs w:val="28"/>
                <w:lang w:eastAsia="en-US"/>
              </w:rPr>
              <w:t>ПК 1.2. Подготавливать оборудование к выводу в ремонт.</w:t>
            </w:r>
          </w:p>
          <w:p w14:paraId="026F1EC3" w14:textId="69E423D7" w:rsidR="00D74FBC" w:rsidRPr="00B602AB" w:rsidRDefault="00D74FBC" w:rsidP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 xml:space="preserve">ПК 1.3. Контролировать подачу энергоносителей на основное и вспомогательное оборудование (электроэнергия, вода, пар, воздух, </w:t>
            </w: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lastRenderedPageBreak/>
              <w:t>технологические газы).</w:t>
            </w:r>
          </w:p>
        </w:tc>
      </w:tr>
      <w:tr w:rsidR="0006342A" w14:paraId="1D3005FD" w14:textId="77777777" w:rsidTr="00B602AB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1514757D" w:rsidR="0006342A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bookmarkStart w:id="40" w:name="_Hlk180766509"/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lastRenderedPageBreak/>
              <w:t>ведение технологического процесса термической обработки металлов (по выбору)</w:t>
            </w:r>
            <w:bookmarkEnd w:id="40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480BD" w14:textId="77777777" w:rsidR="0006342A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2.1. Выполнять расчеты параметров и показателей процессов термической обработки металлов, работы оборудования, характеристик продукции.</w:t>
            </w:r>
          </w:p>
          <w:p w14:paraId="298A6FFB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2.2. Выполнять операции в рамках подготовки к процессу термической обработки.</w:t>
            </w:r>
          </w:p>
          <w:p w14:paraId="6DBC70AF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2.3. Выбирать режим термической обработки в соответствии с технологической инструкцией.</w:t>
            </w:r>
          </w:p>
          <w:p w14:paraId="0C9DB429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2.4. Вести технологический процесс термической обработки металлов в соответствии с требованиями нормативной, технологической документации.</w:t>
            </w:r>
          </w:p>
          <w:p w14:paraId="2B84B567" w14:textId="0B23C647" w:rsidR="00D74FBC" w:rsidRPr="00B602AB" w:rsidRDefault="00D74FBC" w:rsidP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ПК 2.5. Производить оценку качества выпускаемой продукции.</w:t>
            </w:r>
          </w:p>
        </w:tc>
      </w:tr>
      <w:tr w:rsidR="00D74FBC" w14:paraId="46BC5282" w14:textId="77777777" w:rsidTr="00B602AB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26577" w14:textId="002716F1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ведение технологического процесса обработки металлов давлением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2830D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2.1. Выполнять расчеты параметров технологических процессов обработки металлов давлением, работы оборудования, характеристик исходных заготовок и металлопродукции.</w:t>
            </w:r>
          </w:p>
          <w:p w14:paraId="76D41D89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2.2. Выбирать режим обработки металлов давлением в соответствии с технологической инструкцией.</w:t>
            </w:r>
          </w:p>
          <w:p w14:paraId="34A11B33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2.3. Вести технологический процесс обработки металлов давлением в соответствии с требованиями нормативной, технологической документации.</w:t>
            </w:r>
          </w:p>
          <w:p w14:paraId="139B4540" w14:textId="43F9861E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2.4. Производить оценку качества выпускаемой продукции.</w:t>
            </w:r>
          </w:p>
        </w:tc>
      </w:tr>
      <w:tr w:rsidR="00D74FBC" w14:paraId="766352B4" w14:textId="77777777" w:rsidTr="00B602AB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7CD4C" w14:textId="692A7875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ведение технологического процесса производства горячего и холодного проката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5ADB7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2.1. Выполнять расчеты параметров технологических процессов обработки металлов давлением, работы оборудования, характеристик исходных заготовок и металлопродукции.</w:t>
            </w:r>
          </w:p>
          <w:p w14:paraId="3D1DBD80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2.2. Выполнять операции в рамках подготовки к процессу производства горячего и холодного проката.</w:t>
            </w:r>
          </w:p>
          <w:p w14:paraId="5F4A178E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ПК 2.3. Выбирать режим обработки металла в зависимости от требований заказа.</w:t>
            </w:r>
          </w:p>
          <w:p w14:paraId="14318F04" w14:textId="77777777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lastRenderedPageBreak/>
              <w:t>ПК 2.4. Вести технологический процесс производства горячего и холодного проката в соответствии с требованиями нормативной, технологической документации.</w:t>
            </w:r>
          </w:p>
          <w:p w14:paraId="3DFB8D2A" w14:textId="0AB79CC8" w:rsidR="00D74FBC" w:rsidRPr="00B602AB" w:rsidRDefault="00D74F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602AB"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>ПК 2.5. Производить оценку качества выпускаемой продукции.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41" w:name="_Hlk65575897"/>
      <w:bookmarkEnd w:id="37"/>
      <w:r>
        <w:rPr>
          <w:sz w:val="28"/>
        </w:rPr>
        <w:t xml:space="preserve">3.4. </w:t>
      </w:r>
      <w:bookmarkStart w:id="42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43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3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42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41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4" w:name="_Hlk83905915"/>
    <w:p w14:paraId="1284DFE4" w14:textId="610D5BDC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B602AB">
        <w:rPr>
          <w:rFonts w:ascii="Times New Roman" w:hAnsi="Times New Roman"/>
          <w:iCs/>
          <w:sz w:val="28"/>
        </w:rPr>
        <w:t>осваивают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44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lastRenderedPageBreak/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081C99A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5" w:name="_Hlk54866088"/>
      <w:r>
        <w:rPr>
          <w:sz w:val="28"/>
        </w:rPr>
        <w:t>к организации воспитания обучающихся,</w:t>
      </w:r>
      <w:bookmarkEnd w:id="45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Default="00DD26A4">
      <w:pPr>
        <w:spacing w:line="360" w:lineRule="auto"/>
        <w:ind w:firstLine="709"/>
        <w:jc w:val="both"/>
      </w:pPr>
      <w:bookmarkStart w:id="46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6"/>
    </w:p>
    <w:p w14:paraId="0477AD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 xml:space="preserve"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</w:t>
      </w:r>
      <w:r>
        <w:rPr>
          <w:sz w:val="28"/>
        </w:rPr>
        <w:lastRenderedPageBreak/>
        <w:t>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8" w:name="_Hlk149301121"/>
      <w:r>
        <w:rPr>
          <w:sz w:val="28"/>
        </w:rPr>
        <w:t xml:space="preserve"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</w:t>
      </w:r>
      <w:r>
        <w:rPr>
          <w:sz w:val="28"/>
        </w:rPr>
        <w:lastRenderedPageBreak/>
        <w:t>требованиям профессиональных стандартов, требованиям рынка труда к специалистам соответствующего профиля</w:t>
      </w:r>
      <w:bookmarkEnd w:id="48"/>
      <w:r>
        <w:rPr>
          <w:sz w:val="28"/>
        </w:rPr>
        <w:t>.</w:t>
      </w:r>
    </w:p>
    <w:sectPr w:rsidR="0006342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D48C" w14:textId="77777777" w:rsidR="00560987" w:rsidRDefault="00560987">
      <w:r>
        <w:separator/>
      </w:r>
    </w:p>
  </w:endnote>
  <w:endnote w:type="continuationSeparator" w:id="0">
    <w:p w14:paraId="5A0D6230" w14:textId="77777777" w:rsidR="00560987" w:rsidRDefault="0056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CE62" w14:textId="77777777" w:rsidR="00560987" w:rsidRDefault="00560987">
      <w:r>
        <w:separator/>
      </w:r>
    </w:p>
  </w:footnote>
  <w:footnote w:type="continuationSeparator" w:id="0">
    <w:p w14:paraId="07635E92" w14:textId="77777777" w:rsidR="00560987" w:rsidRDefault="00560987">
      <w:r>
        <w:continuationSeparator/>
      </w:r>
    </w:p>
  </w:footnote>
  <w:footnote w:id="1">
    <w:p w14:paraId="39495D1B" w14:textId="291D1786" w:rsidR="0006342A" w:rsidRDefault="00DD26A4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p w14:paraId="4E85A8BA" w14:textId="77777777" w:rsidR="0006342A" w:rsidRDefault="0006342A">
      <w:pPr>
        <w:pStyle w:val="Footnote"/>
        <w:jc w:val="both"/>
      </w:pPr>
    </w:p>
    <w:p w14:paraId="78A6D231" w14:textId="77777777" w:rsidR="0006342A" w:rsidRDefault="0006342A">
      <w:pPr>
        <w:pStyle w:val="Footnote"/>
        <w:jc w:val="both"/>
      </w:pP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7" w:name="_Hlk115689779"/>
      <w:r>
        <w:t xml:space="preserve">Бюджетный кодекс Российской Федерации </w:t>
      </w:r>
      <w:bookmarkEnd w:id="4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361BE"/>
    <w:rsid w:val="0006342A"/>
    <w:rsid w:val="001E47C1"/>
    <w:rsid w:val="002D760C"/>
    <w:rsid w:val="002F44C5"/>
    <w:rsid w:val="00560987"/>
    <w:rsid w:val="005C1362"/>
    <w:rsid w:val="00662E36"/>
    <w:rsid w:val="008E4700"/>
    <w:rsid w:val="00AC1B6E"/>
    <w:rsid w:val="00B602AB"/>
    <w:rsid w:val="00C8696E"/>
    <w:rsid w:val="00C86F6D"/>
    <w:rsid w:val="00D66487"/>
    <w:rsid w:val="00D74FBC"/>
    <w:rsid w:val="00DD26A4"/>
    <w:rsid w:val="00F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Центр содержания и оценки качества СПО</cp:lastModifiedBy>
  <cp:revision>10</cp:revision>
  <dcterms:created xsi:type="dcterms:W3CDTF">2024-06-19T07:45:00Z</dcterms:created>
  <dcterms:modified xsi:type="dcterms:W3CDTF">2024-10-30T10:00:00Z</dcterms:modified>
</cp:coreProperties>
</file>