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04.10.2021 N 692</w:t>
              <w:br/>
              <w:t xml:space="preserve">"Об утверждении федерального государственного образовательного стандарта среднего профессионального образования по специальности 07.02.01 Архитектура"</w:t>
              <w:br/>
              <w:t xml:space="preserve">(Зарегистрировано в Минюсте России 12.11.2021 N 65795)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jc w:val="both"/>
      </w:pPr>
      <w:r>
        <w:rPr>
          <w:sz w:val="20"/>
        </w:rPr>
        <w:t xml:space="preserve">Зарегистрировано в Минюсте России 12 ноября 2021 г. N 65795</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4 октября 2021 г. N 692</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07.02.01 АРХИТЕКТУРА</w:t>
      </w:r>
    </w:p>
    <w:p>
      <w:pPr>
        <w:pStyle w:val="0"/>
        <w:jc w:val="both"/>
      </w:pPr>
      <w:r>
        <w:rPr>
          <w:sz w:val="20"/>
        </w:rPr>
      </w:r>
    </w:p>
    <w:p>
      <w:pPr>
        <w:pStyle w:val="0"/>
        <w:ind w:firstLine="540"/>
        <w:jc w:val="both"/>
      </w:pPr>
      <w:r>
        <w:rPr>
          <w:sz w:val="20"/>
        </w:rPr>
        <w:t xml:space="preserve">В соответствии с </w:t>
      </w:r>
      <w:hyperlink w:history="0" r:id="rId7" w:tooltip="Постановление Правительства РФ от 28.07.2018 N 884 (ред. от 10.11.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4.2.30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w:history="0" r:id="rId8" w:tooltip="Постановление Правительства РФ от 12.04.2019 N 434 (ред. от 22.10.2021)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пунктом 27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4"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07.02.01 Архитектура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со </w:t>
      </w:r>
      <w:hyperlink w:history="0" w:anchor="P34"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9" w:tooltip="Приказ Минобрнауки России от 28.07.2014 N 850 &quot;Об утверждении федерального государственного образовательного стандарта среднего профессионального образования по специальности 07.02.01 Архитектура&quot; (Зарегистрировано в Минюсте России 19.08.2014 N 33633) {КонсультантПлюс}">
        <w:r>
          <w:rPr>
            <w:sz w:val="20"/>
            <w:color w:val="0000ff"/>
          </w:rPr>
          <w:t xml:space="preserve">стандартом</w:t>
        </w:r>
      </w:hyperlink>
      <w:r>
        <w:rPr>
          <w:sz w:val="20"/>
        </w:rPr>
        <w:t xml:space="preserve"> среднего профессионального образования по специальности </w:t>
      </w:r>
      <w:hyperlink w:history="0" r:id="rId10"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07.02.01</w:t>
        </w:r>
      </w:hyperlink>
      <w:r>
        <w:rPr>
          <w:sz w:val="20"/>
        </w:rPr>
        <w:t xml:space="preserve"> Архитектура, утвержденным приказом Министерства образования и науки Российской Федерации от 28 июля 2014 г. N 850 (зарегистрирован Министерством юстиции Российской Федерации 19 августа 2014 г., регистрационный N 33633), прекращается 31 декабря 2021 года.</w:t>
      </w:r>
    </w:p>
    <w:p>
      <w:pPr>
        <w:pStyle w:val="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4 октября 2021 г. N 692</w:t>
      </w:r>
    </w:p>
    <w:p>
      <w:pPr>
        <w:pStyle w:val="0"/>
        <w:jc w:val="both"/>
      </w:pPr>
      <w:r>
        <w:rPr>
          <w:sz w:val="20"/>
        </w:rPr>
      </w:r>
    </w:p>
    <w:bookmarkStart w:id="34" w:name="P34"/>
    <w:bookmarkEnd w:id="34"/>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07.02.01 АРХИТЕКТУРА</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 программ подготовки специалистов среднего звена по специальности 07.02.01 Архитектура (далее соответственно - ФГОС СПО, образовательная программа, специальность).</w:t>
      </w:r>
    </w:p>
    <w:p>
      <w:pPr>
        <w:pStyle w:val="0"/>
        <w:spacing w:before="200" w:line-rule="auto"/>
        <w:ind w:firstLine="540"/>
        <w:jc w:val="both"/>
      </w:pPr>
      <w:r>
        <w:rPr>
          <w:sz w:val="20"/>
        </w:rPr>
        <w:t xml:space="preserve">1.2.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Обучение по образовательной программе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1.4. Содержание образования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ФГОС СПО и с учетом соответствующих примерных основных образовательных программ, включенных в реестр примерных основных образовательных программ (далее - ПООП).</w:t>
      </w:r>
    </w:p>
    <w:bookmarkStart w:id="44" w:name="P44"/>
    <w:bookmarkEnd w:id="44"/>
    <w:p>
      <w:pPr>
        <w:pStyle w:val="0"/>
        <w:spacing w:before="200" w:line-rule="auto"/>
        <w:ind w:firstLine="540"/>
        <w:jc w:val="both"/>
      </w:pPr>
      <w:r>
        <w:rPr>
          <w:sz w:val="20"/>
        </w:rPr>
        <w:t xml:space="preserve">1.5. Образовательная организация разрабатывает образовательную программу в соответствии с квалификацией специалиста среднего звена "архитектор", указанной в </w:t>
      </w:r>
      <w:hyperlink w:history="0" r:id="rId11"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приказами Министерства просвещения Российской Федерации от 3 декабря 2019 г. N 655 (зарегистрирован Министерством юстиции Российской Федерации 21 февраля 2020 г., регистрационный N 57581) и от 20 января 2021 г. N 15 (зарегистрирован Министерством юстиции Российской Федерации 19 февраля 2021 г., регистрационный N 62570).</w:t>
      </w:r>
    </w:p>
    <w:p>
      <w:pPr>
        <w:pStyle w:val="0"/>
        <w:spacing w:before="200" w:line-rule="auto"/>
        <w:ind w:firstLine="540"/>
        <w:jc w:val="both"/>
      </w:pPr>
      <w:r>
        <w:rPr>
          <w:sz w:val="20"/>
        </w:rPr>
        <w:t xml:space="preserve">1.6. При разработке образовательной программы образовательная организация формирует требования к результатам ее освоения в виде общих и профессиональных компетенций (далее - компетенции), требования к результатам освоения в части профессиональных компетенций формируются на основе профессионального стандарта (</w:t>
      </w:r>
      <w:hyperlink w:history="0" w:anchor="P197" w:tooltip="ПЕРЕЧЕНЬ">
        <w:r>
          <w:rPr>
            <w:sz w:val="20"/>
            <w:color w:val="0000ff"/>
          </w:rPr>
          <w:t xml:space="preserve">приложение N 1</w:t>
        </w:r>
      </w:hyperlink>
      <w:r>
        <w:rPr>
          <w:sz w:val="20"/>
        </w:rPr>
        <w:t xml:space="preserve"> к ФГОС СПО).</w:t>
      </w:r>
    </w:p>
    <w:bookmarkStart w:id="46" w:name="P46"/>
    <w:bookmarkEnd w:id="46"/>
    <w:p>
      <w:pPr>
        <w:pStyle w:val="0"/>
        <w:spacing w:before="200" w:line-rule="auto"/>
        <w:ind w:firstLine="540"/>
        <w:jc w:val="both"/>
      </w:pPr>
      <w:r>
        <w:rPr>
          <w:sz w:val="20"/>
        </w:rPr>
        <w:t xml:space="preserve">1.7.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w:history="0" r:id="rId12"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10</w:t>
        </w:r>
      </w:hyperlink>
      <w:r>
        <w:rPr>
          <w:sz w:val="20"/>
        </w:rPr>
        <w:t xml:space="preserve"> Архитектура, проектирование, геодезия, топография и дизайн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3"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jc w:val="both"/>
      </w:pPr>
      <w:r>
        <w:rPr>
          <w:sz w:val="20"/>
        </w:rPr>
      </w:r>
    </w:p>
    <w:p>
      <w:pPr>
        <w:pStyle w:val="0"/>
        <w:ind w:firstLine="540"/>
        <w:jc w:val="both"/>
      </w:pPr>
      <w:r>
        <w:rPr>
          <w:sz w:val="20"/>
        </w:rPr>
        <w:t xml:space="preserve">1.8.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pPr>
        <w:pStyle w:val="0"/>
        <w:spacing w:before="200" w:line-rule="auto"/>
        <w:ind w:firstLine="540"/>
        <w:jc w:val="both"/>
      </w:pPr>
      <w:r>
        <w:rPr>
          <w:sz w:val="20"/>
        </w:rPr>
        <w:t xml:space="preserve">1.9.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1.10.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pPr>
        <w:pStyle w:val="0"/>
        <w:spacing w:before="200" w:line-rule="auto"/>
        <w:ind w:firstLine="540"/>
        <w:jc w:val="both"/>
      </w:pPr>
      <w:r>
        <w:rPr>
          <w:sz w:val="20"/>
        </w:rPr>
        <w:t xml:space="preserve">1.11.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ПООП примерной рабочей программы воспитания и примерного календарного плана воспитательной работы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4" w:tooltip="Федеральный закон от 29.12.2012 N 273-ФЗ (ред. от 21.11.2022) &quot;Об образовании в Российской Федерации&quot; ------------ Недействующая редакция {КонсультантПлюс}">
        <w:r>
          <w:rPr>
            <w:sz w:val="20"/>
            <w:color w:val="0000ff"/>
          </w:rPr>
          <w:t xml:space="preserve">Часть 2 статьи 12.1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pPr>
        <w:pStyle w:val="0"/>
        <w:jc w:val="both"/>
      </w:pPr>
      <w:r>
        <w:rPr>
          <w:sz w:val="20"/>
        </w:rPr>
      </w:r>
    </w:p>
    <w:p>
      <w:pPr>
        <w:pStyle w:val="0"/>
        <w:ind w:firstLine="540"/>
        <w:jc w:val="both"/>
      </w:pPr>
      <w:r>
        <w:rPr>
          <w:sz w:val="20"/>
        </w:rPr>
        <w:t xml:space="preserve">1.12.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5" w:tooltip="Федеральный закон от 29.12.2012 N 273-ФЗ (ред. от 21.11.2022) &quot;Об образовании в Российской Федерации&quot; ------------ Недействующая редакция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pPr>
        <w:pStyle w:val="0"/>
        <w:jc w:val="both"/>
      </w:pPr>
      <w:r>
        <w:rPr>
          <w:sz w:val="20"/>
        </w:rPr>
      </w:r>
    </w:p>
    <w:p>
      <w:pPr>
        <w:pStyle w:val="0"/>
        <w:ind w:firstLine="540"/>
        <w:jc w:val="both"/>
      </w:pPr>
      <w:r>
        <w:rPr>
          <w:sz w:val="20"/>
        </w:rPr>
        <w:t xml:space="preserve">1.13.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на базе среднего общего образования - 2 года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компетенций, предусмотренных </w:t>
      </w:r>
      <w:hyperlink w:history="0" w:anchor="P121" w:tooltip="III. ТРЕБОВАНИЯ К РЕЗУЛЬТАТАМ ОСВОЕНИЯ">
        <w:r>
          <w:rPr>
            <w:sz w:val="20"/>
            <w:color w:val="0000ff"/>
          </w:rPr>
          <w:t xml:space="preserve">главой III</w:t>
        </w:r>
      </w:hyperlink>
      <w:r>
        <w:rPr>
          <w:sz w:val="20"/>
        </w:rPr>
        <w:t xml:space="preserve"> ФГОС СПО, и должна составлять не более 70 процентов от общего объема времени, отведенного на ее освоение, без учета объема времени на государственную итоговую аттестацию.</w:t>
      </w:r>
    </w:p>
    <w:p>
      <w:pPr>
        <w:pStyle w:val="0"/>
        <w:spacing w:before="200" w:line-rule="auto"/>
        <w:ind w:firstLine="540"/>
        <w:jc w:val="both"/>
      </w:pPr>
      <w:r>
        <w:rPr>
          <w:sz w:val="20"/>
        </w:rPr>
        <w:t xml:space="preserve">Вариативная часть образовательной программы дает возможность расширения основного(-ых) вида(-ов) деятельности, к которому(-ым) должен быть готов выпускник, освоивший образовательную программу, согласно квалификации, указанной в </w:t>
      </w:r>
      <w:hyperlink w:history="0" w:anchor="P44" w:tooltip="1.5. Образовательная организация разрабатывает образовательную программу в соответствии с квалификацией специалиста среднего звена &quot;архитектор&quot;,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
        <w:r>
          <w:rPr>
            <w:sz w:val="20"/>
            <w:color w:val="0000ff"/>
          </w:rPr>
          <w:t xml:space="preserve">пункте 1.5</w:t>
        </w:r>
      </w:hyperlink>
      <w:r>
        <w:rPr>
          <w:sz w:val="20"/>
        </w:rPr>
        <w:t xml:space="preserve">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44" w:tooltip="1.5. Образовательная организация разрабатывает образовательную программу в соответствии с квалификацией специалиста среднего звена &quot;архитектор&quot;,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
        <w:r>
          <w:rPr>
            <w:sz w:val="20"/>
            <w:color w:val="0000ff"/>
          </w:rPr>
          <w:t xml:space="preserve">пункте 1.5</w:t>
        </w:r>
      </w:hyperlink>
      <w:r>
        <w:rPr>
          <w:sz w:val="20"/>
        </w:rPr>
        <w:t xml:space="preserve"> ФГОС СПО.</w:t>
      </w:r>
    </w:p>
    <w:p>
      <w:pPr>
        <w:pStyle w:val="0"/>
        <w:jc w:val="both"/>
      </w:pPr>
      <w:r>
        <w:rPr>
          <w:sz w:val="20"/>
        </w:rPr>
      </w:r>
    </w:p>
    <w:p>
      <w:pPr>
        <w:pStyle w:val="0"/>
        <w:outlineLvl w:val="2"/>
        <w:jc w:val="right"/>
      </w:pPr>
      <w:r>
        <w:rPr>
          <w:sz w:val="20"/>
        </w:rPr>
        <w:t xml:space="preserve">Таблица</w:t>
      </w:r>
    </w:p>
    <w:p>
      <w:pPr>
        <w:pStyle w:val="0"/>
        <w:jc w:val="both"/>
      </w:pPr>
      <w:r>
        <w:rPr>
          <w:sz w:val="20"/>
        </w:rPr>
      </w:r>
    </w:p>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5"/>
        <w:gridCol w:w="4535"/>
      </w:tblGrid>
      <w:tr>
        <w:tc>
          <w:tcPr>
            <w:tcW w:w="4535" w:type="dxa"/>
          </w:tcPr>
          <w:p>
            <w:pPr>
              <w:pStyle w:val="0"/>
            </w:pPr>
            <w:r>
              <w:rPr>
                <w:sz w:val="20"/>
              </w:rPr>
              <w:t xml:space="preserve">Структура образовательной программы</w:t>
            </w:r>
          </w:p>
        </w:tc>
        <w:tc>
          <w:tcPr>
            <w:tcW w:w="4535" w:type="dxa"/>
          </w:tcPr>
          <w:p>
            <w:pPr>
              <w:pStyle w:val="0"/>
              <w:jc w:val="center"/>
            </w:pPr>
            <w:r>
              <w:rPr>
                <w:sz w:val="20"/>
              </w:rPr>
              <w:t xml:space="preserve">Объем образовательной программы в академических часах</w:t>
            </w:r>
          </w:p>
        </w:tc>
      </w:tr>
      <w:tr>
        <w:tc>
          <w:tcPr>
            <w:tcW w:w="4535" w:type="dxa"/>
          </w:tcPr>
          <w:p>
            <w:pPr>
              <w:pStyle w:val="0"/>
            </w:pPr>
            <w:r>
              <w:rPr>
                <w:sz w:val="20"/>
              </w:rPr>
              <w:t xml:space="preserve">Общий гуманитарный и социально-экономический цикл</w:t>
            </w:r>
          </w:p>
        </w:tc>
        <w:tc>
          <w:tcPr>
            <w:tcW w:w="4535" w:type="dxa"/>
          </w:tcPr>
          <w:p>
            <w:pPr>
              <w:pStyle w:val="0"/>
              <w:jc w:val="center"/>
            </w:pPr>
            <w:r>
              <w:rPr>
                <w:sz w:val="20"/>
              </w:rPr>
              <w:t xml:space="preserve">не менее 468</w:t>
            </w:r>
          </w:p>
        </w:tc>
      </w:tr>
      <w:tr>
        <w:tc>
          <w:tcPr>
            <w:tcW w:w="4535" w:type="dxa"/>
          </w:tcPr>
          <w:p>
            <w:pPr>
              <w:pStyle w:val="0"/>
            </w:pPr>
            <w:r>
              <w:rPr>
                <w:sz w:val="20"/>
              </w:rPr>
              <w:t xml:space="preserve">Математический и общий естественно-научный цикл</w:t>
            </w:r>
          </w:p>
        </w:tc>
        <w:tc>
          <w:tcPr>
            <w:tcW w:w="4535" w:type="dxa"/>
          </w:tcPr>
          <w:p>
            <w:pPr>
              <w:pStyle w:val="0"/>
              <w:jc w:val="center"/>
            </w:pPr>
            <w:r>
              <w:rPr>
                <w:sz w:val="20"/>
              </w:rPr>
              <w:t xml:space="preserve">не менее 144</w:t>
            </w:r>
          </w:p>
        </w:tc>
      </w:tr>
      <w:tr>
        <w:tc>
          <w:tcPr>
            <w:tcW w:w="4535" w:type="dxa"/>
          </w:tcPr>
          <w:p>
            <w:pPr>
              <w:pStyle w:val="0"/>
            </w:pPr>
            <w:r>
              <w:rPr>
                <w:sz w:val="20"/>
              </w:rPr>
              <w:t xml:space="preserve">Общепрофессиональный цикл</w:t>
            </w:r>
          </w:p>
        </w:tc>
        <w:tc>
          <w:tcPr>
            <w:tcW w:w="4535" w:type="dxa"/>
          </w:tcPr>
          <w:p>
            <w:pPr>
              <w:pStyle w:val="0"/>
              <w:jc w:val="center"/>
            </w:pPr>
            <w:r>
              <w:rPr>
                <w:sz w:val="20"/>
              </w:rPr>
              <w:t xml:space="preserve">не менее 612</w:t>
            </w:r>
          </w:p>
        </w:tc>
      </w:tr>
      <w:tr>
        <w:tc>
          <w:tcPr>
            <w:tcW w:w="4535" w:type="dxa"/>
          </w:tcPr>
          <w:p>
            <w:pPr>
              <w:pStyle w:val="0"/>
            </w:pPr>
            <w:r>
              <w:rPr>
                <w:sz w:val="20"/>
              </w:rPr>
              <w:t xml:space="preserve">Профессиональный цикл</w:t>
            </w:r>
          </w:p>
        </w:tc>
        <w:tc>
          <w:tcPr>
            <w:tcW w:w="4535" w:type="dxa"/>
          </w:tcPr>
          <w:p>
            <w:pPr>
              <w:pStyle w:val="0"/>
              <w:jc w:val="center"/>
            </w:pPr>
            <w:r>
              <w:rPr>
                <w:sz w:val="20"/>
              </w:rPr>
              <w:t xml:space="preserve">не менее 1 728</w:t>
            </w:r>
          </w:p>
        </w:tc>
      </w:tr>
      <w:tr>
        <w:tc>
          <w:tcPr>
            <w:tcW w:w="4535" w:type="dxa"/>
          </w:tcPr>
          <w:p>
            <w:pPr>
              <w:pStyle w:val="0"/>
            </w:pPr>
            <w:r>
              <w:rPr>
                <w:sz w:val="20"/>
              </w:rPr>
              <w:t xml:space="preserve">Государственная итоговая аттестация</w:t>
            </w:r>
          </w:p>
        </w:tc>
        <w:tc>
          <w:tcPr>
            <w:tcW w:w="4535" w:type="dxa"/>
          </w:tcPr>
          <w:p>
            <w:pPr>
              <w:pStyle w:val="0"/>
              <w:jc w:val="center"/>
            </w:pPr>
            <w:r>
              <w:rPr>
                <w:sz w:val="20"/>
              </w:rPr>
              <w:t xml:space="preserve">216</w:t>
            </w:r>
          </w:p>
        </w:tc>
      </w:tr>
      <w:tr>
        <w:tc>
          <w:tcPr>
            <w:gridSpan w:val="2"/>
            <w:tcW w:w="9070" w:type="dxa"/>
          </w:tcPr>
          <w:p>
            <w:pPr>
              <w:pStyle w:val="0"/>
              <w:outlineLvl w:val="3"/>
              <w:jc w:val="center"/>
            </w:pPr>
            <w:r>
              <w:rPr>
                <w:sz w:val="20"/>
              </w:rPr>
              <w:t xml:space="preserve">Общий объем образовательной программы:</w:t>
            </w:r>
          </w:p>
        </w:tc>
      </w:tr>
      <w:tr>
        <w:tc>
          <w:tcPr>
            <w:tcW w:w="4535" w:type="dxa"/>
          </w:tcPr>
          <w:p>
            <w:pPr>
              <w:pStyle w:val="0"/>
            </w:pPr>
            <w:r>
              <w:rPr>
                <w:sz w:val="20"/>
              </w:rPr>
              <w:t xml:space="preserve">на базе среднего общего образования</w:t>
            </w:r>
          </w:p>
        </w:tc>
        <w:tc>
          <w:tcPr>
            <w:tcW w:w="4535" w:type="dxa"/>
          </w:tcPr>
          <w:p>
            <w:pPr>
              <w:pStyle w:val="0"/>
              <w:jc w:val="center"/>
            </w:pPr>
            <w:r>
              <w:rPr>
                <w:sz w:val="20"/>
              </w:rPr>
              <w:t xml:space="preserve">4 464</w:t>
            </w:r>
          </w:p>
        </w:tc>
      </w:tr>
      <w:tr>
        <w:tc>
          <w:tcPr>
            <w:tcW w:w="4535"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4535" w:type="dxa"/>
          </w:tcPr>
          <w:p>
            <w:pPr>
              <w:pStyle w:val="0"/>
              <w:jc w:val="center"/>
            </w:pPr>
            <w:r>
              <w:rPr>
                <w:sz w:val="20"/>
              </w:rPr>
              <w:t xml:space="preserve">5 940</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формой, определяемой образовательной организацией, и фондами оценочных средств, позволяющими оценить достижение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pPr>
        <w:pStyle w:val="0"/>
        <w:spacing w:before="200" w:line-rule="auto"/>
        <w:ind w:firstLine="540"/>
        <w:jc w:val="both"/>
      </w:pPr>
      <w:r>
        <w:rPr>
          <w:sz w:val="20"/>
        </w:rPr>
        <w:t xml:space="preserve">Дисциплина "Физическая культура" в очной форме обучения предусматривает еженедельно не менее 2 академических часов аудиторных занятий.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Образовательная организация должна предоставлять инвалидам и лицам с ограниченными возможностями здоровья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не менее 48 академических часов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не менее 48 академических часов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 которые реализуются в форме практической подготовки.</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профессионального цикла и реализуются как в несколько периодов, так и рассредоточено, чередуясь с теоретическими занятиями.</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w:t>
      </w:r>
    </w:p>
    <w:p>
      <w:pPr>
        <w:pStyle w:val="0"/>
        <w:jc w:val="both"/>
      </w:pPr>
      <w:r>
        <w:rPr>
          <w:sz w:val="20"/>
        </w:rPr>
      </w:r>
    </w:p>
    <w:bookmarkStart w:id="121" w:name="P121"/>
    <w:bookmarkEnd w:id="121"/>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ФГОС СПО:</w:t>
      </w:r>
    </w:p>
    <w:p>
      <w:pPr>
        <w:pStyle w:val="0"/>
        <w:spacing w:before="200" w:line-rule="auto"/>
        <w:ind w:firstLine="540"/>
        <w:jc w:val="both"/>
      </w:pPr>
      <w:r>
        <w:rPr>
          <w:sz w:val="20"/>
        </w:rPr>
        <w:t xml:space="preserve">разработке отдельных архитектурных и объемно-планировочных решений в составе проектной документации;</w:t>
      </w:r>
    </w:p>
    <w:p>
      <w:pPr>
        <w:pStyle w:val="0"/>
        <w:spacing w:before="200" w:line-rule="auto"/>
        <w:ind w:firstLine="540"/>
        <w:jc w:val="both"/>
      </w:pPr>
      <w:r>
        <w:rPr>
          <w:sz w:val="20"/>
        </w:rPr>
        <w:t xml:space="preserve">осуществлению мероприятий по реализации принятых проектных решений.</w:t>
      </w:r>
    </w:p>
    <w:p>
      <w:pPr>
        <w:pStyle w:val="0"/>
        <w:spacing w:before="200" w:line-rule="auto"/>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 ФГОС СПО:</w:t>
      </w:r>
    </w:p>
    <w:p>
      <w:pPr>
        <w:pStyle w:val="0"/>
        <w:spacing w:before="200" w:line-rule="auto"/>
        <w:ind w:firstLine="540"/>
        <w:jc w:val="both"/>
      </w:pPr>
      <w:r>
        <w:rPr>
          <w:sz w:val="20"/>
        </w:rPr>
        <w:t xml:space="preserve">3.4.1. Разработка отдельных архитектурных и объемно-планировочных решений в составе проектной документации:</w:t>
      </w:r>
    </w:p>
    <w:p>
      <w:pPr>
        <w:pStyle w:val="0"/>
        <w:spacing w:before="200" w:line-rule="auto"/>
        <w:ind w:firstLine="540"/>
        <w:jc w:val="both"/>
      </w:pPr>
      <w:r>
        <w:rPr>
          <w:sz w:val="20"/>
        </w:rPr>
        <w:t xml:space="preserve">ПК 1.1. Подготавливать исходные данные для проектирования, в том числе для разработки отдельных архитектурных и объемно-планировочных решений;</w:t>
      </w:r>
    </w:p>
    <w:p>
      <w:pPr>
        <w:pStyle w:val="0"/>
        <w:spacing w:before="200" w:line-rule="auto"/>
        <w:ind w:firstLine="540"/>
        <w:jc w:val="both"/>
      </w:pPr>
      <w:r>
        <w:rPr>
          <w:sz w:val="20"/>
        </w:rPr>
        <w:t xml:space="preserve">ПК 1.2. Разрабатывать отдельные архитектурные и объемно-планировочные решения в составе проектной документации;</w:t>
      </w:r>
    </w:p>
    <w:p>
      <w:pPr>
        <w:pStyle w:val="0"/>
        <w:spacing w:before="200" w:line-rule="auto"/>
        <w:ind w:firstLine="540"/>
        <w:jc w:val="both"/>
      </w:pPr>
      <w:r>
        <w:rPr>
          <w:sz w:val="20"/>
        </w:rPr>
        <w:t xml:space="preserve">ПК 1.3. Оформлять графически и текстом проектную документацию по разработанным отдельным архитектурным и объемно-планировочным решениям;</w:t>
      </w:r>
    </w:p>
    <w:p>
      <w:pPr>
        <w:pStyle w:val="0"/>
        <w:spacing w:before="200" w:line-rule="auto"/>
        <w:ind w:firstLine="540"/>
        <w:jc w:val="both"/>
      </w:pPr>
      <w:r>
        <w:rPr>
          <w:sz w:val="20"/>
        </w:rPr>
        <w:t xml:space="preserve">3.4.2. Осуществление мероприятий по реализации принятых проектных решений:</w:t>
      </w:r>
    </w:p>
    <w:p>
      <w:pPr>
        <w:pStyle w:val="0"/>
        <w:spacing w:before="200" w:line-rule="auto"/>
        <w:ind w:firstLine="540"/>
        <w:jc w:val="both"/>
      </w:pPr>
      <w:r>
        <w:rPr>
          <w:sz w:val="20"/>
        </w:rPr>
        <w:t xml:space="preserve">ПК 2.1. Определять объемы и сроки выполнения работ по проектированию в рамках поставленных руководителем задач;</w:t>
      </w:r>
    </w:p>
    <w:p>
      <w:pPr>
        <w:pStyle w:val="0"/>
        <w:spacing w:before="200" w:line-rule="auto"/>
        <w:ind w:firstLine="540"/>
        <w:jc w:val="both"/>
      </w:pPr>
      <w:r>
        <w:rPr>
          <w:sz w:val="20"/>
        </w:rPr>
        <w:t xml:space="preserve">ПК 2.2. Вносить изменения в архитектурный раздел проектной документации в соответствии с требованиями и рекомендациями заказчика, уполномоченных организаций.</w:t>
      </w:r>
    </w:p>
    <w:p>
      <w:pPr>
        <w:pStyle w:val="0"/>
        <w:spacing w:before="200" w:line-rule="auto"/>
        <w:ind w:firstLine="540"/>
        <w:jc w:val="both"/>
      </w:pPr>
      <w:r>
        <w:rPr>
          <w:sz w:val="20"/>
        </w:rPr>
        <w:t xml:space="preserve">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history="0" w:anchor="P223" w:tooltip="ПЕРЕЧЕНЬ">
        <w:r>
          <w:rPr>
            <w:sz w:val="20"/>
            <w:color w:val="0000ff"/>
          </w:rPr>
          <w:t xml:space="preserve">приложение N 2</w:t>
        </w:r>
      </w:hyperlink>
      <w:r>
        <w:rPr>
          <w:sz w:val="20"/>
        </w:rPr>
        <w:t xml:space="preserve"> к ФГОС СПО).</w:t>
      </w:r>
    </w:p>
    <w:p>
      <w:pPr>
        <w:pStyle w:val="0"/>
        <w:spacing w:before="200" w:line-rule="auto"/>
        <w:ind w:firstLine="540"/>
        <w:jc w:val="both"/>
      </w:pPr>
      <w:r>
        <w:rPr>
          <w:sz w:val="20"/>
        </w:rPr>
        <w:t xml:space="preserve">3.6. Минимальные требования к результатам освоения основных видов деятельности образовательной программы представлены в </w:t>
      </w:r>
      <w:hyperlink w:history="0" w:anchor="P257" w:tooltip="МИНИМАЛЬНЫЕ ТРЕБОВАНИЯ">
        <w:r>
          <w:rPr>
            <w:sz w:val="20"/>
            <w:color w:val="0000ff"/>
          </w:rPr>
          <w:t xml:space="preserve">приложении N 3</w:t>
        </w:r>
      </w:hyperlink>
      <w:r>
        <w:rPr>
          <w:sz w:val="20"/>
        </w:rPr>
        <w:t xml:space="preserve"> к настоящему ФГОС СПО.</w:t>
      </w:r>
    </w:p>
    <w:p>
      <w:pPr>
        <w:pStyle w:val="0"/>
        <w:spacing w:before="200" w:line-rule="auto"/>
        <w:ind w:firstLine="540"/>
        <w:jc w:val="both"/>
      </w:pPr>
      <w:r>
        <w:rPr>
          <w:sz w:val="20"/>
        </w:rPr>
        <w:t xml:space="preserve">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 организации воспитания обучающихся, кадровым и финансовым условиям реализации образовательной программы.</w:t>
      </w:r>
    </w:p>
    <w:p>
      <w:pPr>
        <w:pStyle w:val="0"/>
        <w:spacing w:before="200" w:line-rule="auto"/>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spacing w:before="200" w:line-rule="auto"/>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воспитательной,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 (или) электронными учебными изданиями по каждой дисциплине (модулю) из расчета одно печатное и (или) электронное учебное издание по каждой дисциплине (модулю) на одного обучающегося.</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spacing w:before="200" w:line-rule="auto"/>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6" w:tooltip="1.7. Область профессиональной деятельности, в которой выпускники, освоившие образовательную программу, могут осуществлять профессиональную деятельность: 10 Архитектура, проектирование, геодезия, топография и дизайн &lt;1&gt;.">
        <w:r>
          <w:rPr>
            <w:sz w:val="20"/>
            <w:color w:val="0000ff"/>
          </w:rPr>
          <w:t xml:space="preserve">пункте 1.7</w:t>
        </w:r>
      </w:hyperlink>
      <w:r>
        <w:rPr>
          <w:sz w:val="20"/>
        </w:rPr>
        <w:t xml:space="preserve"> ФГОС СПО (имеющих стаж работы в данной профессиональной области не менее трех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6" w:tooltip="1.7. Область профессиональной деятельности, в которой выпускники, освоившие образовательную программу, могут осуществлять профессиональную деятельность: 10 Архитектура, проектирование, геодезия, топография и дизайн &lt;1&gt;.">
        <w:r>
          <w:rPr>
            <w:sz w:val="20"/>
            <w:color w:val="0000ff"/>
          </w:rPr>
          <w:t xml:space="preserve">пункте 1.7</w:t>
        </w:r>
      </w:hyperlink>
      <w:r>
        <w:rPr>
          <w:sz w:val="20"/>
        </w:rPr>
        <w:t xml:space="preserve"> ФГОС СПО, не реже одного раза в три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указанной в </w:t>
      </w:r>
      <w:hyperlink w:history="0" w:anchor="P46" w:tooltip="1.7. Область профессиональной деятельности, в которой выпускники, освоившие образовательную программу, могут осуществлять профессиональную деятельность: 10 Архитектура, проектирование, геодезия, топография и дизайн &lt;1&gt;.">
        <w:r>
          <w:rPr>
            <w:sz w:val="20"/>
            <w:color w:val="0000ff"/>
          </w:rPr>
          <w:t xml:space="preserve">пункте 1.7</w:t>
        </w:r>
      </w:hyperlink>
      <w:r>
        <w:rPr>
          <w:sz w:val="20"/>
        </w:rPr>
        <w:t xml:space="preserve">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pPr>
        <w:pStyle w:val="0"/>
        <w:spacing w:before="200" w:line-rule="auto"/>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pPr>
        <w:pStyle w:val="0"/>
        <w:spacing w:before="200" w:line-rule="auto"/>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w:t>
      </w:r>
    </w:p>
    <w:p>
      <w:pPr>
        <w:pStyle w:val="0"/>
        <w:jc w:val="right"/>
      </w:pPr>
      <w:r>
        <w:rPr>
          <w:sz w:val="20"/>
        </w:rPr>
        <w:t xml:space="preserve">среднего профессионального</w:t>
      </w:r>
    </w:p>
    <w:p>
      <w:pPr>
        <w:pStyle w:val="0"/>
        <w:jc w:val="right"/>
      </w:pPr>
      <w:r>
        <w:rPr>
          <w:sz w:val="20"/>
        </w:rPr>
        <w:t xml:space="preserve">образования по специальности</w:t>
      </w:r>
    </w:p>
    <w:p>
      <w:pPr>
        <w:pStyle w:val="0"/>
        <w:jc w:val="right"/>
      </w:pPr>
      <w:r>
        <w:rPr>
          <w:sz w:val="20"/>
        </w:rPr>
        <w:t xml:space="preserve">07.02.01 Архитектура,</w:t>
      </w:r>
    </w:p>
    <w:p>
      <w:pPr>
        <w:pStyle w:val="0"/>
        <w:jc w:val="right"/>
      </w:pPr>
      <w:r>
        <w:rPr>
          <w:sz w:val="20"/>
        </w:rPr>
        <w:t xml:space="preserve">утвержденному приказом</w:t>
      </w:r>
    </w:p>
    <w:p>
      <w:pPr>
        <w:pStyle w:val="0"/>
        <w:jc w:val="right"/>
      </w:pPr>
      <w:r>
        <w:rPr>
          <w:sz w:val="20"/>
        </w:rPr>
        <w:t xml:space="preserve">Министерства просвещения</w:t>
      </w:r>
    </w:p>
    <w:p>
      <w:pPr>
        <w:pStyle w:val="0"/>
        <w:jc w:val="right"/>
      </w:pPr>
      <w:r>
        <w:rPr>
          <w:sz w:val="20"/>
        </w:rPr>
        <w:t xml:space="preserve">Российской Федерации</w:t>
      </w:r>
    </w:p>
    <w:p>
      <w:pPr>
        <w:pStyle w:val="0"/>
        <w:jc w:val="right"/>
      </w:pPr>
      <w:r>
        <w:rPr>
          <w:sz w:val="20"/>
        </w:rPr>
        <w:t xml:space="preserve">от 4 октября 2021 г. N 692</w:t>
      </w:r>
    </w:p>
    <w:p>
      <w:pPr>
        <w:pStyle w:val="0"/>
        <w:jc w:val="both"/>
      </w:pPr>
      <w:r>
        <w:rPr>
          <w:sz w:val="20"/>
        </w:rPr>
      </w:r>
    </w:p>
    <w:bookmarkStart w:id="197" w:name="P197"/>
    <w:bookmarkEnd w:id="197"/>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СПЕЦИАЛЬНОСТИ 07.02.01 АРХИТЕКТУРА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6576"/>
      </w:tblGrid>
      <w:tr>
        <w:tc>
          <w:tcPr>
            <w:tcW w:w="2494" w:type="dxa"/>
          </w:tcPr>
          <w:p>
            <w:pPr>
              <w:pStyle w:val="0"/>
              <w:jc w:val="center"/>
            </w:pPr>
            <w:r>
              <w:rPr>
                <w:sz w:val="20"/>
              </w:rPr>
              <w:t xml:space="preserve">Код профессионального стандарта</w:t>
            </w:r>
          </w:p>
        </w:tc>
        <w:tc>
          <w:tcPr>
            <w:tcW w:w="6576" w:type="dxa"/>
          </w:tcPr>
          <w:p>
            <w:pPr>
              <w:pStyle w:val="0"/>
              <w:jc w:val="center"/>
            </w:pPr>
            <w:r>
              <w:rPr>
                <w:sz w:val="20"/>
              </w:rPr>
              <w:t xml:space="preserve">Наименование профессионального стандарта</w:t>
            </w:r>
          </w:p>
        </w:tc>
      </w:tr>
      <w:tr>
        <w:tc>
          <w:tcPr>
            <w:tcW w:w="2494" w:type="dxa"/>
          </w:tcPr>
          <w:p>
            <w:pPr>
              <w:pStyle w:val="0"/>
            </w:pPr>
            <w:r>
              <w:rPr>
                <w:sz w:val="20"/>
              </w:rPr>
              <w:t xml:space="preserve">10.008</w:t>
            </w:r>
          </w:p>
        </w:tc>
        <w:tc>
          <w:tcPr>
            <w:tcW w:w="6576" w:type="dxa"/>
          </w:tcPr>
          <w:p>
            <w:pPr>
              <w:pStyle w:val="0"/>
              <w:jc w:val="both"/>
            </w:pPr>
            <w:r>
              <w:rPr>
                <w:sz w:val="20"/>
              </w:rPr>
              <w:t xml:space="preserve">Профессиональный </w:t>
            </w:r>
            <w:hyperlink w:history="0" r:id="rId16" w:tooltip="Приказ Минтруда России от 04.08.2017 N 616н &quot;Об утверждении профессионального стандарта &quot;Архитектор&quot; (Зарегистрировано в Минюсте России 29.08.2017 N 48000) ------------ Утратил силу или отменен {КонсультантПлюс}">
              <w:r>
                <w:rPr>
                  <w:sz w:val="20"/>
                  <w:color w:val="0000ff"/>
                </w:rPr>
                <w:t xml:space="preserve">стандарт</w:t>
              </w:r>
            </w:hyperlink>
            <w:r>
              <w:rPr>
                <w:sz w:val="20"/>
              </w:rPr>
              <w:t xml:space="preserve"> "Архитектор", утвержденный приказом Министерства труда и социальной защиты Российской Федерации от 4 августа 2017 г. N 616н (зарегистрирован Министерством юстиции Российской Федерации 29 августа 2017 г., регистрационный N 48000)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w:t>
      </w:r>
    </w:p>
    <w:p>
      <w:pPr>
        <w:pStyle w:val="0"/>
        <w:jc w:val="right"/>
      </w:pPr>
      <w:r>
        <w:rPr>
          <w:sz w:val="20"/>
        </w:rPr>
        <w:t xml:space="preserve">среднего профессионального</w:t>
      </w:r>
    </w:p>
    <w:p>
      <w:pPr>
        <w:pStyle w:val="0"/>
        <w:jc w:val="right"/>
      </w:pPr>
      <w:r>
        <w:rPr>
          <w:sz w:val="20"/>
        </w:rPr>
        <w:t xml:space="preserve">образования по специальности</w:t>
      </w:r>
    </w:p>
    <w:p>
      <w:pPr>
        <w:pStyle w:val="0"/>
        <w:jc w:val="right"/>
      </w:pPr>
      <w:r>
        <w:rPr>
          <w:sz w:val="20"/>
        </w:rPr>
        <w:t xml:space="preserve">07.02.01 Архитектура,</w:t>
      </w:r>
    </w:p>
    <w:p>
      <w:pPr>
        <w:pStyle w:val="0"/>
        <w:jc w:val="right"/>
      </w:pPr>
      <w:r>
        <w:rPr>
          <w:sz w:val="20"/>
        </w:rPr>
        <w:t xml:space="preserve">утвержденному приказом</w:t>
      </w:r>
    </w:p>
    <w:p>
      <w:pPr>
        <w:pStyle w:val="0"/>
        <w:jc w:val="right"/>
      </w:pPr>
      <w:r>
        <w:rPr>
          <w:sz w:val="20"/>
        </w:rPr>
        <w:t xml:space="preserve">Министерства просвещения</w:t>
      </w:r>
    </w:p>
    <w:p>
      <w:pPr>
        <w:pStyle w:val="0"/>
        <w:jc w:val="right"/>
      </w:pPr>
      <w:r>
        <w:rPr>
          <w:sz w:val="20"/>
        </w:rPr>
        <w:t xml:space="preserve">Российской Федерации</w:t>
      </w:r>
    </w:p>
    <w:p>
      <w:pPr>
        <w:pStyle w:val="0"/>
        <w:jc w:val="right"/>
      </w:pPr>
      <w:r>
        <w:rPr>
          <w:sz w:val="20"/>
        </w:rPr>
        <w:t xml:space="preserve">от 4 октября 2021 г. N 692</w:t>
      </w:r>
    </w:p>
    <w:p>
      <w:pPr>
        <w:pStyle w:val="0"/>
        <w:jc w:val="both"/>
      </w:pPr>
      <w:r>
        <w:rPr>
          <w:sz w:val="20"/>
        </w:rPr>
      </w:r>
    </w:p>
    <w:bookmarkStart w:id="223" w:name="P223"/>
    <w:bookmarkEnd w:id="223"/>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ПРОГРАММЫ ПОДГОТОВКИ СПЕЦИАЛИСТОВ</w:t>
      </w:r>
    </w:p>
    <w:p>
      <w:pPr>
        <w:pStyle w:val="2"/>
        <w:jc w:val="center"/>
      </w:pPr>
      <w:r>
        <w:rPr>
          <w:sz w:val="20"/>
        </w:rPr>
        <w:t xml:space="preserve">СРЕДНЕГО ЗВЕНА ПО СПЕЦИАЛЬНОСТИ 07.02.01 АРХИТЕКТУРА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59"/>
        <w:gridCol w:w="3911"/>
      </w:tblGrid>
      <w:tr>
        <w:tc>
          <w:tcPr>
            <w:tcW w:w="5159" w:type="dxa"/>
          </w:tcPr>
          <w:p>
            <w:pPr>
              <w:pStyle w:val="0"/>
              <w:jc w:val="center"/>
            </w:pPr>
            <w:r>
              <w:rPr>
                <w:sz w:val="20"/>
              </w:rPr>
              <w:t xml:space="preserve">Код по </w:t>
            </w:r>
            <w:hyperlink w:history="0" r:id="rId17"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Перечню</w:t>
              </w:r>
            </w:hyperlink>
            <w:r>
              <w:rPr>
                <w:sz w:val="20"/>
              </w:rPr>
              <w:t xml:space="preserve"> профессий рабочих, должностей служащих, по которым осуществляется профессиональное обучение &lt;4&gt;</w:t>
            </w:r>
          </w:p>
        </w:tc>
        <w:tc>
          <w:tcPr>
            <w:tcW w:w="3911" w:type="dxa"/>
          </w:tcPr>
          <w:p>
            <w:pPr>
              <w:pStyle w:val="0"/>
              <w:jc w:val="center"/>
            </w:pPr>
            <w:r>
              <w:rPr>
                <w:sz w:val="20"/>
              </w:rPr>
              <w:t xml:space="preserve">Наименование профессий рабочих, должностей служащих</w:t>
            </w:r>
          </w:p>
        </w:tc>
      </w:tr>
      <w:tr>
        <w:tc>
          <w:tcPr>
            <w:tcW w:w="5159" w:type="dxa"/>
          </w:tcPr>
          <w:p>
            <w:pPr>
              <w:pStyle w:val="0"/>
              <w:jc w:val="center"/>
            </w:pPr>
            <w:hyperlink w:history="0" r:id="rId18"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13444</w:t>
              </w:r>
            </w:hyperlink>
          </w:p>
        </w:tc>
        <w:tc>
          <w:tcPr>
            <w:tcW w:w="3911" w:type="dxa"/>
          </w:tcPr>
          <w:p>
            <w:pPr>
              <w:pStyle w:val="0"/>
              <w:jc w:val="center"/>
            </w:pPr>
            <w:r>
              <w:rPr>
                <w:sz w:val="20"/>
              </w:rPr>
              <w:t xml:space="preserve">Макетчик макетно-модельного проектирования</w:t>
            </w:r>
          </w:p>
        </w:tc>
      </w:tr>
      <w:tr>
        <w:tc>
          <w:tcPr>
            <w:tcW w:w="5159" w:type="dxa"/>
          </w:tcPr>
          <w:p>
            <w:pPr>
              <w:pStyle w:val="0"/>
              <w:jc w:val="center"/>
            </w:pPr>
            <w:hyperlink w:history="0" r:id="rId19"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13448</w:t>
              </w:r>
            </w:hyperlink>
          </w:p>
        </w:tc>
        <w:tc>
          <w:tcPr>
            <w:tcW w:w="3911" w:type="dxa"/>
          </w:tcPr>
          <w:p>
            <w:pPr>
              <w:pStyle w:val="0"/>
              <w:jc w:val="center"/>
            </w:pPr>
            <w:r>
              <w:rPr>
                <w:sz w:val="20"/>
              </w:rPr>
              <w:t xml:space="preserve">Макетчик художественных макетов</w:t>
            </w:r>
          </w:p>
        </w:tc>
      </w:tr>
      <w:tr>
        <w:tc>
          <w:tcPr>
            <w:tcW w:w="5159" w:type="dxa"/>
          </w:tcPr>
          <w:p>
            <w:pPr>
              <w:pStyle w:val="0"/>
              <w:jc w:val="center"/>
            </w:pPr>
            <w:hyperlink w:history="0" r:id="rId20"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13450</w:t>
              </w:r>
            </w:hyperlink>
          </w:p>
        </w:tc>
        <w:tc>
          <w:tcPr>
            <w:tcW w:w="3911" w:type="dxa"/>
          </w:tcPr>
          <w:p>
            <w:pPr>
              <w:pStyle w:val="0"/>
              <w:jc w:val="center"/>
            </w:pPr>
            <w:r>
              <w:rPr>
                <w:sz w:val="20"/>
              </w:rPr>
              <w:t xml:space="preserve">Маляр</w:t>
            </w:r>
          </w:p>
        </w:tc>
      </w:tr>
      <w:tr>
        <w:tc>
          <w:tcPr>
            <w:tcW w:w="5159" w:type="dxa"/>
          </w:tcPr>
          <w:p>
            <w:pPr>
              <w:pStyle w:val="0"/>
              <w:jc w:val="center"/>
            </w:pPr>
            <w:hyperlink w:history="0" r:id="rId21"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27534</w:t>
              </w:r>
            </w:hyperlink>
          </w:p>
        </w:tc>
        <w:tc>
          <w:tcPr>
            <w:tcW w:w="3911" w:type="dxa"/>
          </w:tcPr>
          <w:p>
            <w:pPr>
              <w:pStyle w:val="0"/>
              <w:jc w:val="center"/>
            </w:pPr>
            <w:r>
              <w:rPr>
                <w:sz w:val="20"/>
              </w:rPr>
              <w:t xml:space="preserve">Чертежник-конструктор</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&lt;4&gt; </w:t>
      </w:r>
      <w:hyperlink w:history="0" r:id="rId22"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Перечень</w:t>
        </w:r>
      </w:hyperlink>
      <w:r>
        <w:rPr>
          <w:sz w:val="20"/>
        </w:rPr>
        <w:t xml:space="preserve"> профессий рабочих, должностей служащих, по которым осуществляется профессиональное обучение, утвержденный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от 3 февраля 2017 г. N 106 (зарегистрирован Министерством юстиции Российской Федерации 11 апреля 2017 г., регистрационный N 46339), приказами Министерства просвещения Российской Федерации от 12 ноября 2018 г. N 201 (зарегистрирован Министерством юстиции Российской Федерации 3 декабря 2018 г., регистрационный N 52852), от 25 апреля 2019 г. N 208 (зарегистрирован Министерством юстиции Российской Федерации 24 июня 2019 г., регистрационный N 55009) и от 1 июня 2021 г. N 290 (зарегистрирован Министерством юстиции Российской Федерации 2 июля 2021 г., регистрационный N 64084).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w:t>
      </w:r>
    </w:p>
    <w:p>
      <w:pPr>
        <w:pStyle w:val="0"/>
        <w:jc w:val="right"/>
      </w:pPr>
      <w:r>
        <w:rPr>
          <w:sz w:val="20"/>
        </w:rPr>
        <w:t xml:space="preserve">среднего профессионального</w:t>
      </w:r>
    </w:p>
    <w:p>
      <w:pPr>
        <w:pStyle w:val="0"/>
        <w:jc w:val="right"/>
      </w:pPr>
      <w:r>
        <w:rPr>
          <w:sz w:val="20"/>
        </w:rPr>
        <w:t xml:space="preserve">образования по специальности</w:t>
      </w:r>
    </w:p>
    <w:p>
      <w:pPr>
        <w:pStyle w:val="0"/>
        <w:jc w:val="right"/>
      </w:pPr>
      <w:r>
        <w:rPr>
          <w:sz w:val="20"/>
        </w:rPr>
        <w:t xml:space="preserve">07.02.01 Архитектура,</w:t>
      </w:r>
    </w:p>
    <w:p>
      <w:pPr>
        <w:pStyle w:val="0"/>
        <w:jc w:val="right"/>
      </w:pPr>
      <w:r>
        <w:rPr>
          <w:sz w:val="20"/>
        </w:rPr>
        <w:t xml:space="preserve">утвержденному приказом</w:t>
      </w:r>
    </w:p>
    <w:p>
      <w:pPr>
        <w:pStyle w:val="0"/>
        <w:jc w:val="right"/>
      </w:pPr>
      <w:r>
        <w:rPr>
          <w:sz w:val="20"/>
        </w:rPr>
        <w:t xml:space="preserve">Министерства просвещения</w:t>
      </w:r>
    </w:p>
    <w:p>
      <w:pPr>
        <w:pStyle w:val="0"/>
        <w:jc w:val="right"/>
      </w:pPr>
      <w:r>
        <w:rPr>
          <w:sz w:val="20"/>
        </w:rPr>
        <w:t xml:space="preserve">Российской Федерации</w:t>
      </w:r>
    </w:p>
    <w:p>
      <w:pPr>
        <w:pStyle w:val="0"/>
        <w:jc w:val="right"/>
      </w:pPr>
      <w:r>
        <w:rPr>
          <w:sz w:val="20"/>
        </w:rPr>
        <w:t xml:space="preserve">от 4 октября 2021 г. N 692</w:t>
      </w:r>
    </w:p>
    <w:p>
      <w:pPr>
        <w:pStyle w:val="0"/>
        <w:jc w:val="both"/>
      </w:pPr>
      <w:r>
        <w:rPr>
          <w:sz w:val="20"/>
        </w:rPr>
      </w:r>
    </w:p>
    <w:bookmarkStart w:id="257" w:name="P257"/>
    <w:bookmarkEnd w:id="257"/>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07.02.01 АРХИТЕКТУРА</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381"/>
        <w:gridCol w:w="6689"/>
      </w:tblGrid>
      <w:tr>
        <w:tblPrEx>
          <w:tblBorders>
            <w:insideH w:val="single" w:sz="4"/>
          </w:tblBorders>
        </w:tblPrEx>
        <w:tc>
          <w:tcPr>
            <w:tcW w:w="2381" w:type="dxa"/>
            <w:tcBorders>
              <w:top w:val="single" w:sz="4"/>
              <w:bottom w:val="single" w:sz="4"/>
            </w:tcBorders>
          </w:tcPr>
          <w:p>
            <w:pPr>
              <w:pStyle w:val="0"/>
              <w:jc w:val="center"/>
            </w:pPr>
            <w:r>
              <w:rPr>
                <w:sz w:val="20"/>
              </w:rPr>
              <w:t xml:space="preserve">Основной вид деятельности</w:t>
            </w:r>
          </w:p>
        </w:tc>
        <w:tc>
          <w:tcPr>
            <w:tcW w:w="6689" w:type="dxa"/>
            <w:tcBorders>
              <w:top w:val="single" w:sz="4"/>
              <w:bottom w:val="single" w:sz="4"/>
            </w:tcBorders>
          </w:tcPr>
          <w:p>
            <w:pPr>
              <w:pStyle w:val="0"/>
              <w:jc w:val="center"/>
            </w:pPr>
            <w:r>
              <w:rPr>
                <w:sz w:val="20"/>
              </w:rPr>
              <w:t xml:space="preserve">Требования к знаниям, умениям, практическому опыту</w:t>
            </w:r>
          </w:p>
        </w:tc>
      </w:tr>
      <w:tr>
        <w:tc>
          <w:tcPr>
            <w:tcW w:w="2381" w:type="dxa"/>
            <w:tcBorders>
              <w:top w:val="single" w:sz="4"/>
              <w:bottom w:val="nil"/>
            </w:tcBorders>
          </w:tcPr>
          <w:p>
            <w:pPr>
              <w:pStyle w:val="0"/>
            </w:pPr>
            <w:r>
              <w:rPr>
                <w:sz w:val="20"/>
              </w:rPr>
              <w:t xml:space="preserve">Разработка отдельных архитектурных и объемно-планировочных решений в составе проектной документации</w:t>
            </w:r>
          </w:p>
        </w:tc>
        <w:tc>
          <w:tcPr>
            <w:tcW w:w="6689" w:type="dxa"/>
            <w:tcBorders>
              <w:top w:val="single" w:sz="4"/>
              <w:bottom w:val="nil"/>
            </w:tcBorders>
          </w:tcPr>
          <w:p>
            <w:pPr>
              <w:pStyle w:val="0"/>
              <w:jc w:val="both"/>
            </w:pPr>
            <w:r>
              <w:rPr>
                <w:sz w:val="20"/>
              </w:rPr>
              <w:t xml:space="preserve">знать:</w:t>
            </w:r>
          </w:p>
          <w:p>
            <w:pPr>
              <w:pStyle w:val="0"/>
              <w:jc w:val="both"/>
            </w:pPr>
            <w:r>
              <w:rPr>
                <w:sz w:val="20"/>
              </w:rPr>
              <w:t xml:space="preserve">основные виды требований к различным типам объектов капитального строительства, включая социальные, эстетические, функционально-технологические, эргономические и экономические требования;</w:t>
            </w:r>
          </w:p>
          <w:p>
            <w:pPr>
              <w:pStyle w:val="0"/>
              <w:jc w:val="both"/>
            </w:pPr>
            <w:r>
              <w:rPr>
                <w:sz w:val="20"/>
              </w:rPr>
              <w:t xml:space="preserve">основные источники получения информации в архитектурно-строительном проектировании, включая нормативные, методические, справочные и реферативные источники;</w:t>
            </w:r>
          </w:p>
          <w:p>
            <w:pPr>
              <w:pStyle w:val="0"/>
              <w:jc w:val="both"/>
            </w:pPr>
            <w:r>
              <w:rPr>
                <w:sz w:val="20"/>
              </w:rPr>
              <w:t xml:space="preserve">средства и методы сбора и обработки данных об объективных условиях участка застройки, включая обмеры, фотофиксацию, вычерчивание генерального плана местности, макетирование, графическую фиксацию подосновы;</w:t>
            </w:r>
          </w:p>
          <w:p>
            <w:pPr>
              <w:pStyle w:val="0"/>
              <w:jc w:val="both"/>
            </w:pPr>
            <w:r>
              <w:rPr>
                <w:sz w:val="20"/>
              </w:rPr>
              <w:t xml:space="preserve">методы сбора и анализа данных о социально-культурных условиях района застройки, включая наблюдение, опрос, интервьюирование и анкетирование;</w:t>
            </w:r>
          </w:p>
          <w:p>
            <w:pPr>
              <w:pStyle w:val="0"/>
              <w:jc w:val="both"/>
            </w:pPr>
            <w:r>
              <w:rPr>
                <w:sz w:val="20"/>
              </w:rPr>
              <w:t xml:space="preserve">региональные и местные архитектурные традиции;</w:t>
            </w:r>
          </w:p>
          <w:p>
            <w:pPr>
              <w:pStyle w:val="0"/>
              <w:jc w:val="both"/>
            </w:pPr>
            <w:r>
              <w:rPr>
                <w:sz w:val="20"/>
              </w:rPr>
              <w:t xml:space="preserve">виды и методы проведения предпроектных исследований, включая историографические и культурологические;</w:t>
            </w:r>
          </w:p>
          <w:p>
            <w:pPr>
              <w:pStyle w:val="0"/>
              <w:jc w:val="both"/>
            </w:pPr>
            <w:r>
              <w:rPr>
                <w:sz w:val="20"/>
              </w:rPr>
              <w:t xml:space="preserve">средства и методы архитектурно-строительного проектирования;</w:t>
            </w:r>
          </w:p>
          <w:p>
            <w:pPr>
              <w:pStyle w:val="0"/>
              <w:jc w:val="both"/>
            </w:pPr>
            <w:r>
              <w:rPr>
                <w:sz w:val="20"/>
              </w:rPr>
              <w:t xml:space="preserve">основы архитектурной композиции и закономерности визуального восприятия;</w:t>
            </w:r>
          </w:p>
          <w:p>
            <w:pPr>
              <w:pStyle w:val="0"/>
              <w:jc w:val="both"/>
            </w:pPr>
            <w:r>
              <w:rPr>
                <w:sz w:val="20"/>
              </w:rPr>
              <w:t xml:space="preserve">методы наглядного изображения и моделирования архитектурной формы и пространства;</w:t>
            </w:r>
          </w:p>
          <w:p>
            <w:pPr>
              <w:pStyle w:val="0"/>
              <w:jc w:val="both"/>
            </w:pPr>
            <w:r>
              <w:rPr>
                <w:sz w:val="20"/>
              </w:rPr>
              <w:t xml:space="preserve">основные способы выражения авторского архитектурного замысла, включая графические, макетные, компьютерного моделирования, вербальные, видео;</w:t>
            </w:r>
          </w:p>
        </w:tc>
      </w:tr>
      <w:tr>
        <w:tc>
          <w:tcPr>
            <w:tcW w:w="2381" w:type="dxa"/>
            <w:tcBorders>
              <w:top w:val="nil"/>
              <w:bottom w:val="nil"/>
            </w:tcBorders>
          </w:tcPr>
          <w:p>
            <w:pPr>
              <w:pStyle w:val="0"/>
            </w:pPr>
            <w:r>
              <w:rPr>
                <w:sz w:val="20"/>
              </w:rPr>
            </w:r>
          </w:p>
        </w:tc>
        <w:tc>
          <w:tcPr>
            <w:tcW w:w="6689" w:type="dxa"/>
            <w:tcBorders>
              <w:top w:val="nil"/>
              <w:bottom w:val="nil"/>
            </w:tcBorders>
          </w:tcPr>
          <w:p>
            <w:pPr>
              <w:pStyle w:val="0"/>
              <w:jc w:val="both"/>
            </w:pPr>
            <w:r>
              <w:rPr>
                <w:sz w:val="20"/>
              </w:rPr>
              <w:t xml:space="preserve">особенности восприятия различных форм представления концептуального архитектурного проекта архитекторами, специалистами в области строительства, а также лицами, не владеющими профессиональной культурой;</w:t>
            </w:r>
          </w:p>
          <w:p>
            <w:pPr>
              <w:pStyle w:val="0"/>
              <w:jc w:val="both"/>
            </w:pPr>
            <w:r>
              <w:rPr>
                <w:sz w:val="20"/>
              </w:rPr>
              <w:t xml:space="preserve">основные средства автоматизации архитектурно-строительного проектирования и компьютерного моделирования;</w:t>
            </w:r>
          </w:p>
          <w:p>
            <w:pPr>
              <w:pStyle w:val="0"/>
              <w:jc w:val="both"/>
            </w:pPr>
            <w:r>
              <w:rPr>
                <w:sz w:val="20"/>
              </w:rPr>
              <w:t xml:space="preserve">требования законодательства Российской Федерации и иных нормативных правовых актов, нормативных технических и нормативных методических документов по архитектурно-строительному проектированию, включая технические регламенты, национальные стандарты и своды правил, санитарные нормы и правила;</w:t>
            </w:r>
          </w:p>
          <w:p>
            <w:pPr>
              <w:pStyle w:val="0"/>
              <w:jc w:val="both"/>
            </w:pPr>
            <w:r>
              <w:rPr>
                <w:sz w:val="20"/>
              </w:rPr>
              <w:t xml:space="preserve">требования законодательства Российской Федерации в сфере проектирования, градостроительной и архитектурной деятельности, в том числе в части соответствия принимаемых архитектурных и проектных решений требованиям законодательства Российской Федерации к обеспечению беспрепятственного доступа инвалидов к объектам планировки и застройки населенных пунктов;</w:t>
            </w:r>
          </w:p>
          <w:p>
            <w:pPr>
              <w:pStyle w:val="0"/>
              <w:jc w:val="both"/>
            </w:pPr>
            <w:r>
              <w:rPr>
                <w:sz w:val="20"/>
              </w:rPr>
              <w:t xml:space="preserve">требования международных нормативных технических документов по архитектурно-строительному проектированию и особенности их применения;</w:t>
            </w:r>
          </w:p>
          <w:p>
            <w:pPr>
              <w:pStyle w:val="0"/>
              <w:jc w:val="both"/>
            </w:pPr>
            <w:r>
              <w:rPr>
                <w:sz w:val="20"/>
              </w:rPr>
              <w:t xml:space="preserve">социальные, функционально-технологические, эргономические, эстетические и экономические требования к различным типам объектов;</w:t>
            </w:r>
          </w:p>
          <w:p>
            <w:pPr>
              <w:pStyle w:val="0"/>
              <w:jc w:val="both"/>
            </w:pPr>
            <w:r>
              <w:rPr>
                <w:sz w:val="20"/>
              </w:rPr>
              <w:t xml:space="preserve">основные средства и методы архитектурно-строительного проектирования по обеспечению безбарьерной среды для маломобильных групп населения;</w:t>
            </w:r>
          </w:p>
          <w:p>
            <w:pPr>
              <w:pStyle w:val="0"/>
              <w:jc w:val="both"/>
            </w:pPr>
            <w:r>
              <w:rPr>
                <w:sz w:val="20"/>
              </w:rPr>
              <w:t xml:space="preserve">творческие приемы выдвижения авторского архитектурно-художественного замысла;</w:t>
            </w:r>
          </w:p>
          <w:p>
            <w:pPr>
              <w:pStyle w:val="0"/>
              <w:jc w:val="both"/>
            </w:pPr>
            <w:r>
              <w:rPr>
                <w:sz w:val="20"/>
              </w:rPr>
              <w:t xml:space="preserve">социально-культурные, демографические, психологические, функциональные основы формирования архитектурной среды;</w:t>
            </w:r>
          </w:p>
          <w:p>
            <w:pPr>
              <w:pStyle w:val="0"/>
              <w:jc w:val="both"/>
            </w:pPr>
            <w:r>
              <w:rPr>
                <w:sz w:val="20"/>
              </w:rPr>
              <w:t xml:space="preserve">взаимосвязь объемно-пространственных, конструктивных, инженерных решений и эксплуатационных качеств проектируемых объектов;</w:t>
            </w:r>
          </w:p>
          <w:p>
            <w:pPr>
              <w:pStyle w:val="0"/>
              <w:jc w:val="both"/>
            </w:pPr>
            <w:r>
              <w:rPr>
                <w:sz w:val="20"/>
              </w:rPr>
              <w:t xml:space="preserve">основы проектирования конструктивных решений объекта капитального строительства, основы расчета конструктивных решений на основные воздействия и нагрузки;</w:t>
            </w:r>
          </w:p>
          <w:p>
            <w:pPr>
              <w:pStyle w:val="0"/>
              <w:jc w:val="both"/>
            </w:pPr>
            <w:r>
              <w:rPr>
                <w:sz w:val="20"/>
              </w:rPr>
              <w:t xml:space="preserve">принципы проектирования средовых, экологических качеств объекта капитального строительства, включая акустику, освещение, микроклимат;</w:t>
            </w:r>
          </w:p>
          <w:p>
            <w:pPr>
              <w:pStyle w:val="0"/>
              <w:jc w:val="both"/>
            </w:pPr>
            <w:r>
              <w:rPr>
                <w:sz w:val="20"/>
              </w:rPr>
              <w:t xml:space="preserve">основные строительные материалы, изделия и конструкции, их технические, технологические, эстетические и эксплуатационные характеристики;</w:t>
            </w:r>
          </w:p>
          <w:p>
            <w:pPr>
              <w:pStyle w:val="0"/>
              <w:jc w:val="both"/>
            </w:pPr>
            <w:r>
              <w:rPr>
                <w:sz w:val="20"/>
              </w:rPr>
              <w:t xml:space="preserve">основные технологии производства строительных и монтажных работ;</w:t>
            </w:r>
          </w:p>
          <w:p>
            <w:pPr>
              <w:pStyle w:val="0"/>
              <w:jc w:val="both"/>
            </w:pPr>
            <w:r>
              <w:rPr>
                <w:sz w:val="20"/>
              </w:rPr>
              <w:t xml:space="preserve">методики проведения технико-экономических расчетов проектных решений;</w:t>
            </w:r>
          </w:p>
          <w:p>
            <w:pPr>
              <w:pStyle w:val="0"/>
              <w:jc w:val="both"/>
            </w:pPr>
            <w:r>
              <w:rPr>
                <w:sz w:val="20"/>
              </w:rPr>
              <w:t xml:space="preserve">состав технико-экономических показателей, учитываемых при проведении технико-экономических расчетов проектных решений;</w:t>
            </w:r>
          </w:p>
          <w:p>
            <w:pPr>
              <w:pStyle w:val="0"/>
              <w:jc w:val="both"/>
            </w:pPr>
            <w:r>
              <w:rPr>
                <w:sz w:val="20"/>
              </w:rPr>
              <w:t xml:space="preserve">методы автоматизированного проектирования, основные программные комплексы проектирования, компьютерного моделирования, создания чертежей и моделей;</w:t>
            </w:r>
          </w:p>
        </w:tc>
      </w:tr>
      <w:tr>
        <w:tc>
          <w:tcPr>
            <w:tcW w:w="2381" w:type="dxa"/>
            <w:tcBorders>
              <w:top w:val="nil"/>
              <w:bottom w:val="single" w:sz="4"/>
            </w:tcBorders>
            <w:vMerge w:val="restart"/>
          </w:tcPr>
          <w:p>
            <w:pPr>
              <w:pStyle w:val="0"/>
            </w:pPr>
            <w:r>
              <w:rPr>
                <w:sz w:val="20"/>
              </w:rPr>
            </w:r>
          </w:p>
        </w:tc>
        <w:tc>
          <w:tcPr>
            <w:tcW w:w="6689" w:type="dxa"/>
            <w:tcBorders>
              <w:top w:val="nil"/>
              <w:bottom w:val="nil"/>
            </w:tcBorders>
          </w:tcPr>
          <w:p>
            <w:pPr>
              <w:pStyle w:val="0"/>
              <w:jc w:val="both"/>
            </w:pPr>
            <w:r>
              <w:rPr>
                <w:sz w:val="20"/>
              </w:rPr>
              <w:t xml:space="preserve">уметь:</w:t>
            </w:r>
          </w:p>
          <w:p>
            <w:pPr>
              <w:pStyle w:val="0"/>
              <w:jc w:val="both"/>
            </w:pPr>
            <w:r>
              <w:rPr>
                <w:sz w:val="20"/>
              </w:rPr>
              <w:t xml:space="preserve">осуществлять сбор, обработку и анализ данных об объективных условиях района застройки, включая климатические и инженерно-геологические условия участка застройки;</w:t>
            </w:r>
          </w:p>
          <w:p>
            <w:pPr>
              <w:pStyle w:val="0"/>
              <w:jc w:val="both"/>
            </w:pPr>
            <w:r>
              <w:rPr>
                <w:sz w:val="20"/>
              </w:rPr>
              <w:t xml:space="preserve">осуществлять сбор, обработку и анализ данных о социально-культурных и историко-архитектурных условиях района застройки;</w:t>
            </w:r>
          </w:p>
          <w:p>
            <w:pPr>
              <w:pStyle w:val="0"/>
              <w:jc w:val="both"/>
            </w:pPr>
            <w:r>
              <w:rPr>
                <w:sz w:val="20"/>
              </w:rPr>
              <w:t xml:space="preserve">проводить предпроектные исследования, включая историографические и культурологические;</w:t>
            </w:r>
          </w:p>
          <w:p>
            <w:pPr>
              <w:pStyle w:val="0"/>
              <w:jc w:val="both"/>
            </w:pPr>
            <w:r>
              <w:rPr>
                <w:sz w:val="20"/>
              </w:rPr>
              <w:t xml:space="preserve">осуществлять поиск, обработку и анализ данных об аналогичных по функциональному назначению, месту застройки и условиям проектирования объектах;</w:t>
            </w:r>
          </w:p>
          <w:p>
            <w:pPr>
              <w:pStyle w:val="0"/>
              <w:jc w:val="both"/>
            </w:pPr>
            <w:r>
              <w:rPr>
                <w:sz w:val="20"/>
              </w:rPr>
              <w:t xml:space="preserve">использовать средства и методы работы с библиографическими и иконографическими источниками;</w:t>
            </w:r>
          </w:p>
          <w:p>
            <w:pPr>
              <w:pStyle w:val="0"/>
              <w:jc w:val="both"/>
            </w:pPr>
            <w:r>
              <w:rPr>
                <w:sz w:val="20"/>
              </w:rPr>
              <w:t xml:space="preserve">оформлять результаты работ по сбору, обработке и анализу данных, необходимых для разработки архитектурной концепции;</w:t>
            </w:r>
          </w:p>
          <w:p>
            <w:pPr>
              <w:pStyle w:val="0"/>
              <w:jc w:val="both"/>
            </w:pPr>
            <w:r>
              <w:rPr>
                <w:sz w:val="20"/>
              </w:rPr>
              <w:t xml:space="preserve">оформлять описания и обоснования функционально-планировочных, объемно-пространственных, художественных, стилевых и других решений, положенных в основу архитектурной концепции;</w:t>
            </w:r>
          </w:p>
          <w:p>
            <w:pPr>
              <w:pStyle w:val="0"/>
              <w:jc w:val="both"/>
            </w:pPr>
            <w:r>
              <w:rPr>
                <w:sz w:val="20"/>
              </w:rPr>
              <w:t xml:space="preserve">выбирать и применять оптимальные формы и методы изображения и моделирования архитектурной формы и пространства;</w:t>
            </w:r>
          </w:p>
          <w:p>
            <w:pPr>
              <w:pStyle w:val="0"/>
              <w:jc w:val="both"/>
            </w:pPr>
            <w:r>
              <w:rPr>
                <w:sz w:val="20"/>
              </w:rPr>
              <w:t xml:space="preserve">использовать средства автоматизации архитектурно-строительного проектирования и компьютерного моделирования;</w:t>
            </w:r>
          </w:p>
          <w:p>
            <w:pPr>
              <w:pStyle w:val="0"/>
              <w:jc w:val="both"/>
            </w:pPr>
            <w:r>
              <w:rPr>
                <w:sz w:val="20"/>
              </w:rPr>
              <w:t xml:space="preserve">осуществлять анализ содержания проектных задач;</w:t>
            </w:r>
          </w:p>
          <w:p>
            <w:pPr>
              <w:pStyle w:val="0"/>
              <w:jc w:val="both"/>
            </w:pPr>
            <w:r>
              <w:rPr>
                <w:sz w:val="20"/>
              </w:rPr>
              <w:t xml:space="preserve">осуществлять и обосновывать выбор архитектурных и объемно-планировочных решений в контексте требований, установленных заданием на проектирование;</w:t>
            </w:r>
          </w:p>
          <w:p>
            <w:pPr>
              <w:pStyle w:val="0"/>
              <w:jc w:val="both"/>
            </w:pPr>
            <w:r>
              <w:rPr>
                <w:sz w:val="20"/>
              </w:rPr>
              <w:t xml:space="preserve">осуществлять выбор оптимальных методов и средств формирования безбарьерной среды при разработке проектных решений на новое строительство и реконструкцию зданий, сооружений и их комплексов и использования данных объектов инвалидами;</w:t>
            </w:r>
          </w:p>
          <w:p>
            <w:pPr>
              <w:pStyle w:val="0"/>
              <w:jc w:val="both"/>
            </w:pPr>
            <w:r>
              <w:rPr>
                <w:sz w:val="20"/>
              </w:rPr>
              <w:t xml:space="preserve">проводить расчет технико-экономических показателей архитектурных и объемно-планировочных решений объекта капитального строительства;</w:t>
            </w:r>
          </w:p>
          <w:p>
            <w:pPr>
              <w:pStyle w:val="0"/>
              <w:jc w:val="both"/>
            </w:pPr>
            <w:r>
              <w:rPr>
                <w:sz w:val="20"/>
              </w:rPr>
              <w:t xml:space="preserve">формулировать обоснования архитектурных и объемно-планировочных решений объекта;</w:t>
            </w:r>
          </w:p>
          <w:p>
            <w:pPr>
              <w:pStyle w:val="0"/>
              <w:jc w:val="both"/>
            </w:pPr>
            <w:r>
              <w:rPr>
                <w:sz w:val="20"/>
              </w:rPr>
              <w:t xml:space="preserve">оформлять текстовые и графические материалы по разработанным архитектурным и объемно-планировочным решениям;</w:t>
            </w:r>
          </w:p>
          <w:p>
            <w:pPr>
              <w:pStyle w:val="0"/>
              <w:jc w:val="both"/>
            </w:pPr>
            <w:r>
              <w:rPr>
                <w:sz w:val="20"/>
              </w:rPr>
              <w:t xml:space="preserve">использовать средства выражения авторского архитектурного замысла, включая графические, макетные, компьютерного моделирования, вербальные, видео;</w:t>
            </w:r>
          </w:p>
          <w:p>
            <w:pPr>
              <w:pStyle w:val="0"/>
              <w:jc w:val="both"/>
            </w:pPr>
            <w:r>
              <w:rPr>
                <w:sz w:val="20"/>
              </w:rPr>
              <w:t xml:space="preserve">оформлять рабочую документацию по архитектурному разделу проекта, включая основные комплекты рабочих чертежей и прилагаемые к ним документы;</w:t>
            </w:r>
          </w:p>
        </w:tc>
      </w:tr>
      <w:tr>
        <w:tblPrEx>
          <w:tblBorders>
            <w:insideH w:val="single" w:sz="4"/>
          </w:tblBorders>
        </w:tblPrEx>
        <w:tc>
          <w:tcPr>
            <w:tcBorders>
              <w:top w:val="nil"/>
              <w:bottom w:val="single" w:sz="4"/>
            </w:tcBorders>
            <w:vMerge w:val="continue"/>
          </w:tcPr>
          <w:p/>
        </w:tc>
        <w:tc>
          <w:tcPr>
            <w:tcW w:w="6689" w:type="dxa"/>
            <w:tcBorders>
              <w:top w:val="nil"/>
              <w:bottom w:val="single" w:sz="4"/>
            </w:tcBorders>
          </w:tcPr>
          <w:p>
            <w:pPr>
              <w:pStyle w:val="0"/>
              <w:jc w:val="both"/>
            </w:pPr>
            <w:r>
              <w:rPr>
                <w:sz w:val="20"/>
              </w:rPr>
              <w:t xml:space="preserve">иметь практический опыт в:</w:t>
            </w:r>
          </w:p>
          <w:p>
            <w:pPr>
              <w:pStyle w:val="0"/>
              <w:jc w:val="both"/>
            </w:pPr>
            <w:r>
              <w:rPr>
                <w:sz w:val="20"/>
              </w:rPr>
              <w:t xml:space="preserve">сборе, обработке и документального оформления данных для задания на разработку концептуального архитектурного проекта;</w:t>
            </w:r>
          </w:p>
          <w:p>
            <w:pPr>
              <w:pStyle w:val="0"/>
              <w:jc w:val="both"/>
            </w:pPr>
            <w:r>
              <w:rPr>
                <w:sz w:val="20"/>
              </w:rPr>
              <w:t xml:space="preserve">подготовке типовых и примерных вариантов для разработки отдельных архитектурных и объемно-планировочных решений;</w:t>
            </w:r>
          </w:p>
          <w:p>
            <w:pPr>
              <w:pStyle w:val="0"/>
              <w:jc w:val="both"/>
            </w:pPr>
            <w:r>
              <w:rPr>
                <w:sz w:val="20"/>
              </w:rPr>
              <w:t xml:space="preserve">проверке комплектности и оценка качества исходных данных, данных задания на проектирование объекта и данных задания на разработку архитектурного раздела проектной документации;</w:t>
            </w:r>
          </w:p>
          <w:p>
            <w:pPr>
              <w:pStyle w:val="0"/>
              <w:jc w:val="both"/>
            </w:pPr>
            <w:r>
              <w:rPr>
                <w:sz w:val="20"/>
              </w:rPr>
              <w:t xml:space="preserve">подготовке демонстрационных материалов для представления концептуального архитектурного проекта заказчику, включая текстовые, графические и объемные материалы;</w:t>
            </w:r>
          </w:p>
          <w:p>
            <w:pPr>
              <w:pStyle w:val="0"/>
              <w:jc w:val="both"/>
            </w:pPr>
            <w:r>
              <w:rPr>
                <w:sz w:val="20"/>
              </w:rPr>
              <w:t xml:space="preserve">разработке вариантов отдельных архитектурных и объемно-планировочных решений в составе проектной документации;</w:t>
            </w:r>
          </w:p>
          <w:p>
            <w:pPr>
              <w:pStyle w:val="0"/>
              <w:jc w:val="both"/>
            </w:pPr>
            <w:r>
              <w:rPr>
                <w:sz w:val="20"/>
              </w:rPr>
              <w:t xml:space="preserve">оценке применимости типовых архитектурных узлов и деталей объемно-планировочных решений;</w:t>
            </w:r>
          </w:p>
          <w:p>
            <w:pPr>
              <w:pStyle w:val="0"/>
              <w:jc w:val="both"/>
            </w:pPr>
            <w:r>
              <w:rPr>
                <w:sz w:val="20"/>
              </w:rPr>
              <w:t xml:space="preserve">обеспечении соблюдения норм законодательства Российской Федерации и иных нормативных актов, а также стандартов выполнения работ и применяемых материалов;</w:t>
            </w:r>
          </w:p>
          <w:p>
            <w:pPr>
              <w:pStyle w:val="0"/>
              <w:jc w:val="both"/>
            </w:pPr>
            <w:r>
              <w:rPr>
                <w:sz w:val="20"/>
              </w:rPr>
              <w:t xml:space="preserve">разработке и осуществлении архитектурных и проектных решений зданий, сооружений и их комплексов с учетом требований законодательства Российской Федерации об обеспечении беспрепятственного доступа в них инвалидов и использования их инвалидами;</w:t>
            </w:r>
          </w:p>
          <w:p>
            <w:pPr>
              <w:pStyle w:val="0"/>
              <w:jc w:val="both"/>
            </w:pPr>
            <w:r>
              <w:rPr>
                <w:sz w:val="20"/>
              </w:rPr>
              <w:t xml:space="preserve">оформлении текстовых и графических материалов архитектурного раздела проектной документации;</w:t>
            </w:r>
          </w:p>
          <w:p>
            <w:pPr>
              <w:pStyle w:val="0"/>
              <w:jc w:val="both"/>
            </w:pPr>
            <w:r>
              <w:rPr>
                <w:sz w:val="20"/>
              </w:rPr>
              <w:t xml:space="preserve">оформлении рабочей документации по архитектурному разделу проекта.</w:t>
            </w:r>
          </w:p>
        </w:tc>
      </w:tr>
      <w:tr>
        <w:tblPrEx>
          <w:tblBorders>
            <w:insideH w:val="single" w:sz="4"/>
          </w:tblBorders>
        </w:tblPrEx>
        <w:tc>
          <w:tcPr>
            <w:tcW w:w="2381" w:type="dxa"/>
            <w:tcBorders>
              <w:top w:val="single" w:sz="4"/>
              <w:bottom w:val="single" w:sz="4"/>
            </w:tcBorders>
            <w:vMerge w:val="restart"/>
          </w:tcPr>
          <w:p>
            <w:pPr>
              <w:pStyle w:val="0"/>
            </w:pPr>
            <w:r>
              <w:rPr>
                <w:sz w:val="20"/>
              </w:rPr>
              <w:t xml:space="preserve">Осуществление мероприятий по реализации принятых проектных решений</w:t>
            </w:r>
          </w:p>
        </w:tc>
        <w:tc>
          <w:tcPr>
            <w:tcW w:w="6689" w:type="dxa"/>
            <w:tcBorders>
              <w:top w:val="single" w:sz="4"/>
              <w:bottom w:val="nil"/>
            </w:tcBorders>
          </w:tcPr>
          <w:p>
            <w:pPr>
              <w:pStyle w:val="0"/>
              <w:jc w:val="both"/>
            </w:pPr>
            <w:r>
              <w:rPr>
                <w:sz w:val="20"/>
              </w:rPr>
              <w:t xml:space="preserve">знать:</w:t>
            </w:r>
          </w:p>
          <w:p>
            <w:pPr>
              <w:pStyle w:val="0"/>
              <w:jc w:val="both"/>
            </w:pPr>
            <w:r>
              <w:rPr>
                <w:sz w:val="20"/>
              </w:rPr>
              <w:t xml:space="preserve">требования законодательства Российской Федерации и иных нормативных правовых актов, нормативных методических документов к составу, содержанию и оформлению разделов проектной документации, к порядку проведения экспертизы проектной документации и внесения дополнений и изменений в проектную документацию;</w:t>
            </w:r>
          </w:p>
          <w:p>
            <w:pPr>
              <w:pStyle w:val="0"/>
              <w:jc w:val="both"/>
            </w:pPr>
            <w:r>
              <w:rPr>
                <w:sz w:val="20"/>
              </w:rPr>
              <w:t xml:space="preserve">методы и средства профессиональной, бизнес- и персональной коммуникации;</w:t>
            </w:r>
          </w:p>
          <w:p>
            <w:pPr>
              <w:pStyle w:val="0"/>
              <w:jc w:val="both"/>
            </w:pPr>
            <w:r>
              <w:rPr>
                <w:sz w:val="20"/>
              </w:rPr>
              <w:t xml:space="preserve">основные положения об авторском надзоре проектных организаций за строительством объектов архитектурной среды;</w:t>
            </w:r>
          </w:p>
          <w:p>
            <w:pPr>
              <w:pStyle w:val="0"/>
              <w:jc w:val="both"/>
            </w:pPr>
            <w:r>
              <w:rPr>
                <w:sz w:val="20"/>
              </w:rPr>
              <w:t xml:space="preserve">принцип и методы контроля соответствия проектно-сметной документации объектов капитального строительства требованиям заказчика, техническим регламентам, стандартам, нормам, правилам;</w:t>
            </w:r>
          </w:p>
        </w:tc>
      </w:tr>
      <w:tr>
        <w:tc>
          <w:tcPr>
            <w:tcBorders>
              <w:top w:val="single" w:sz="4"/>
              <w:bottom w:val="single" w:sz="4"/>
            </w:tcBorders>
            <w:vMerge w:val="continue"/>
          </w:tcPr>
          <w:p/>
        </w:tc>
        <w:tc>
          <w:tcPr>
            <w:tcW w:w="6689" w:type="dxa"/>
            <w:tcBorders>
              <w:top w:val="nil"/>
              <w:bottom w:val="nil"/>
            </w:tcBorders>
          </w:tcPr>
          <w:p>
            <w:pPr>
              <w:pStyle w:val="0"/>
              <w:jc w:val="both"/>
            </w:pPr>
            <w:r>
              <w:rPr>
                <w:sz w:val="20"/>
              </w:rPr>
              <w:t xml:space="preserve">уметь:</w:t>
            </w:r>
          </w:p>
          <w:p>
            <w:pPr>
              <w:pStyle w:val="0"/>
              <w:jc w:val="both"/>
            </w:pPr>
            <w:r>
              <w:rPr>
                <w:sz w:val="20"/>
              </w:rPr>
              <w:t xml:space="preserve">выбирать оптимальные методы и средства профессиональной, бизнес- и персональной коммуникации при согласовании архитектурного проекта с заказчиком; определять объемы и сроки выполнения работ по проектированию отдельных архитектурных и объемно-планировочных решений;</w:t>
            </w:r>
          </w:p>
          <w:p>
            <w:pPr>
              <w:pStyle w:val="0"/>
              <w:jc w:val="both"/>
            </w:pPr>
            <w:r>
              <w:rPr>
                <w:sz w:val="20"/>
              </w:rPr>
              <w:t xml:space="preserve">определять соответствие комплектности и качества оформления архитектурного раздела проектной документации требованиям законодательства Российской Федерации и иных нормативных правовых актов, нормативных технических и нормативных методических документов к составу и содержанию разделов проектной документации;</w:t>
            </w:r>
          </w:p>
          <w:p>
            <w:pPr>
              <w:pStyle w:val="0"/>
              <w:jc w:val="both"/>
            </w:pPr>
            <w:r>
              <w:rPr>
                <w:sz w:val="20"/>
              </w:rPr>
              <w:t xml:space="preserve">определять допустимые варианты изменений разрабатываемых архитектурных и объемно-планировочных решений при согласовании с решениями по другим разделам проектной документации;</w:t>
            </w:r>
          </w:p>
        </w:tc>
      </w:tr>
      <w:tr>
        <w:tc>
          <w:tcPr>
            <w:tcBorders>
              <w:top w:val="single" w:sz="4"/>
              <w:bottom w:val="single" w:sz="4"/>
            </w:tcBorders>
            <w:vMerge w:val="continue"/>
          </w:tcPr>
          <w:p/>
        </w:tc>
        <w:tc>
          <w:tcPr>
            <w:tcW w:w="6689" w:type="dxa"/>
            <w:tcBorders>
              <w:top w:val="nil"/>
              <w:bottom w:val="single" w:sz="4"/>
            </w:tcBorders>
          </w:tcPr>
          <w:p>
            <w:pPr>
              <w:pStyle w:val="0"/>
              <w:jc w:val="both"/>
            </w:pPr>
            <w:r>
              <w:rPr>
                <w:sz w:val="20"/>
              </w:rPr>
              <w:t xml:space="preserve">иметь практический опыт в:</w:t>
            </w:r>
          </w:p>
          <w:p>
            <w:pPr>
              <w:pStyle w:val="0"/>
              <w:jc w:val="both"/>
            </w:pPr>
            <w:r>
              <w:rPr>
                <w:sz w:val="20"/>
              </w:rPr>
              <w:t xml:space="preserve">разработке заданий на проектирование отдельных архитектурных и объемно-планировочных решений; согласовании архитектурных и объемно-планировочных решений с разрабатываемыми решениями по другим разделам проектной документации;</w:t>
            </w:r>
          </w:p>
          <w:p>
            <w:pPr>
              <w:pStyle w:val="0"/>
              <w:jc w:val="both"/>
            </w:pPr>
            <w:r>
              <w:rPr>
                <w:sz w:val="20"/>
              </w:rPr>
              <w:t xml:space="preserve">корректировании проектной документации по замечаниям смежных и контролирующих организаций;</w:t>
            </w:r>
          </w:p>
          <w:p>
            <w:pPr>
              <w:pStyle w:val="0"/>
              <w:jc w:val="both"/>
            </w:pPr>
            <w:r>
              <w:rPr>
                <w:sz w:val="20"/>
              </w:rPr>
              <w:t xml:space="preserve">внесении изменений в проектную документацию по отдельным архитектурным и объемно-планировочным решениям в соответствии с требованиями и рекомендациями заказчика, уполномоченных организаций;</w:t>
            </w:r>
          </w:p>
          <w:p>
            <w:pPr>
              <w:pStyle w:val="0"/>
              <w:jc w:val="both"/>
            </w:pPr>
            <w:r>
              <w:rPr>
                <w:sz w:val="20"/>
              </w:rPr>
              <w:t xml:space="preserve">подготовке и контролю комплектности и качества оформления рабочей документации, разрабатываемой в соответствии с архитектурным разделом проекта.</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04.10.2021 N 692</w:t>
            <w:br/>
            <w:t>"Об утверждении федерального государственного образовательного стандарт...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0C07FDAE6FD31119C57E42D54339F1ECB461F5DD1D6FD5F8BC4DC0C9BF8027F4A88742A00EB6D1C6432B1FCC36047903F81A9F90F04E8F6b6pFI" TargetMode = "External"/>
	<Relationship Id="rId8" Type="http://schemas.openxmlformats.org/officeDocument/2006/relationships/hyperlink" Target="consultantplus://offline/ref=50C07FDAE6FD31119C57E42D54339F1ECC4C175ED0D2FD5F8BC4DC0C9BF8027F4A88742A00EB6D1E6732B1FCC36047903F81A9F90F04E8F6b6pFI" TargetMode = "External"/>
	<Relationship Id="rId9" Type="http://schemas.openxmlformats.org/officeDocument/2006/relationships/hyperlink" Target="consultantplus://offline/ref=50C07FDAE6FD31119C57E42D54339F1ECE43165ED2D8FD5F8BC4DC0C9BF8027F4A88742A00EB6D186732B1FCC36047903F81A9F90F04E8F6b6pFI" TargetMode = "External"/>
	<Relationship Id="rId10" Type="http://schemas.openxmlformats.org/officeDocument/2006/relationships/hyperlink" Target="consultantplus://offline/ref=50C07FDAE6FD31119C57E42D54339F1ECC42195AD5D2FD5F8BC4DC0C9BF8027F4A88742A00EB64116732B1FCC36047903F81A9F90F04E8F6b6pFI" TargetMode = "External"/>
	<Relationship Id="rId11" Type="http://schemas.openxmlformats.org/officeDocument/2006/relationships/hyperlink" Target="consultantplus://offline/ref=50C07FDAE6FD31119C57E42D54339F1ECC42195AD5D2FD5F8BC4DC0C9BF8027F4A88742A00EB641F6632B1FCC36047903F81A9F90F04E8F6b6pFI" TargetMode = "External"/>
	<Relationship Id="rId12" Type="http://schemas.openxmlformats.org/officeDocument/2006/relationships/hyperlink" Target="consultantplus://offline/ref=50C07FDAE6FD31119C57E42D54339F1ECD441A5AD6D0FD5F8BC4DC0C9BF8027F4A88742A00EB6D1F6D32B1FCC36047903F81A9F90F04E8F6b6pFI" TargetMode = "External"/>
	<Relationship Id="rId13" Type="http://schemas.openxmlformats.org/officeDocument/2006/relationships/hyperlink" Target="consultantplus://offline/ref=50C07FDAE6FD31119C57E42D54339F1ECD441A5AD6D0FD5F8BC4DC0C9BF8027F4A88742A00EB6D1D6232B1FCC36047903F81A9F90F04E8F6b6pFI" TargetMode = "External"/>
	<Relationship Id="rId14" Type="http://schemas.openxmlformats.org/officeDocument/2006/relationships/hyperlink" Target="consultantplus://offline/ref=50C07FDAE6FD31119C57E42D54339F1ECB461F54D2D1FD5F8BC4DC0C9BF8027F4A88742F04ED664D347DB0A0873C54913481AAFB13b0p4I" TargetMode = "External"/>
	<Relationship Id="rId15" Type="http://schemas.openxmlformats.org/officeDocument/2006/relationships/hyperlink" Target="consultantplus://offline/ref=50C07FDAE6FD31119C57E42D54339F1ECB461F54D2D1FD5F8BC4DC0C9BF8027F4A88742A00EB6F1D6C32B1FCC36047903F81A9F90F04E8F6b6pFI" TargetMode = "External"/>
	<Relationship Id="rId16" Type="http://schemas.openxmlformats.org/officeDocument/2006/relationships/hyperlink" Target="consultantplus://offline/ref=50C07FDAE6FD31119C57E42D54339F1ECD461758D3D1FD5F8BC4DC0C9BF8027F4A88742A00EB6D196C32B1FCC36047903F81A9F90F04E8F6b6pFI" TargetMode = "External"/>
	<Relationship Id="rId17" Type="http://schemas.openxmlformats.org/officeDocument/2006/relationships/hyperlink" Target="consultantplus://offline/ref=50C07FDAE6FD31119C57E42D54339F1ECC4D1755D6D3FD5F8BC4DC0C9BF8027F4A88742A00EB6D186732B1FCC36047903F81A9F90F04E8F6b6pFI" TargetMode = "External"/>
	<Relationship Id="rId18" Type="http://schemas.openxmlformats.org/officeDocument/2006/relationships/hyperlink" Target="consultantplus://offline/ref=50C07FDAE6FD31119C57E42D54339F1ECC4D1755D6D3FD5F8BC4DC0C9BF8027F4A88742A01EC6E1A6532B1FCC36047903F81A9F90F04E8F6b6pFI" TargetMode = "External"/>
	<Relationship Id="rId19" Type="http://schemas.openxmlformats.org/officeDocument/2006/relationships/hyperlink" Target="consultantplus://offline/ref=50C07FDAE6FD31119C57E42D54339F1ECC4D1755D6D3FD5F8BC4DC0C9BF8027F4A88742A01EC6E1A6D32B1FCC36047903F81A9F90F04E8F6b6pFI" TargetMode = "External"/>
	<Relationship Id="rId20" Type="http://schemas.openxmlformats.org/officeDocument/2006/relationships/hyperlink" Target="consultantplus://offline/ref=50C07FDAE6FD31119C57E42D54339F1ECC4D1755D6D3FD5F8BC4DC0C9BF8027F4A88742A00EB6E1B6132B1FCC36047903F81A9F90F04E8F6b6pFI" TargetMode = "External"/>
	<Relationship Id="rId21" Type="http://schemas.openxmlformats.org/officeDocument/2006/relationships/hyperlink" Target="consultantplus://offline/ref=50C07FDAE6FD31119C57E42D54339F1ECC4D1755D6D3FD5F8BC4DC0C9BF8027F4A88742A01E26E1B6D32B1FCC36047903F81A9F90F04E8F6b6pFI" TargetMode = "External"/>
	<Relationship Id="rId22" Type="http://schemas.openxmlformats.org/officeDocument/2006/relationships/hyperlink" Target="consultantplus://offline/ref=50C07FDAE6FD31119C57E42D54339F1ECC4D1755D6D3FD5F8BC4DC0C9BF8027F4A88742A00EB6D186732B1FCC36047903F81A9F90F04E8F6b6pF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04.10.2021 N 692
"Об утверждении федерального государственного образовательного стандарта среднего профессионального образования по специальности 07.02.01 Архитектура"
(Зарегистрировано в Минюсте России 12.11.2021 N 65795)</dc:title>
  <dcterms:created xsi:type="dcterms:W3CDTF">2022-12-09T08:41:27Z</dcterms:created>
</cp:coreProperties>
</file>