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373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19.02.03 Технология хлеба, кондитерских и макаронных изделий"</w:t>
              <w:br/>
              <w:t xml:space="preserve">(Зарегистрировано в Минюсте России 01.08.2014 N 33402)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августа 2014 г. N 33402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19.02.03 ТЕХНОЛОГИЯ ХЛЕБА, КОНДИТЕРСКИХ</w:t>
      </w:r>
    </w:p>
    <w:p>
      <w:pPr>
        <w:pStyle w:val="2"/>
        <w:jc w:val="center"/>
      </w:pPr>
      <w:r>
        <w:rPr>
          <w:sz w:val="20"/>
        </w:rPr>
        <w:t xml:space="preserve">И МАКАРОННЫХ ИЗДЕЛИЙ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126,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19.02.03 Технология хлеба,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5.06.2010 N 611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103 Технология хлеба, кондитерских и макаронных изделий&quot; (Зарегистрировано в Минюсте РФ 21.07.2010 N 1794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июня 2010 г. N 611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260103 Технология хлеба, кондитерских и макаронных изделий" (зарегистрирован Министерством юстиции Российской Федерации 21 июля 2010 г., регистрационный N 17942).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373</w:t>
      </w:r>
    </w:p>
    <w:p>
      <w:pPr>
        <w:pStyle w:val="0"/>
        <w:jc w:val="right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19.02.03 ТЕХНОЛОГИЯ ХЛЕБА, КОНДИТЕРСКИХ</w:t>
      </w:r>
    </w:p>
    <w:p>
      <w:pPr>
        <w:pStyle w:val="2"/>
        <w:jc w:val="center"/>
      </w:pPr>
      <w:r>
        <w:rPr>
          <w:sz w:val="20"/>
        </w:rPr>
        <w:t xml:space="preserve">И МАКАРОННЫХ ИЗДЕЛИЙ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19.02.03 Технология хлеба, кондитерских и макаронных изделий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19.02.03 Технология хлеба, кондитерских и макаронных изделий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 - общеобразовательные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19.02.03 Технология хлеба, кондитерских и макаронных изделий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76"/>
        <w:gridCol w:w="2665"/>
        <w:gridCol w:w="3124"/>
      </w:tblGrid>
      <w:tr>
        <w:tc>
          <w:tcPr>
            <w:tcW w:w="3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6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1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1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76"/>
        <w:gridCol w:w="2665"/>
        <w:gridCol w:w="3124"/>
      </w:tblGrid>
      <w:tr>
        <w:tc>
          <w:tcPr>
            <w:tcW w:w="3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6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1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1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ведение технологических процессов производства хлеба,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сырье, основные и вспомогательные материалы, применяемые для производства хлебобулочных, кондитерских и макаронных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полуфабрикаты;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готовая продукция хлебобулочных, кондитерских и макаронных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производства хлебобулочных, кондитерских и макаронных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производства хлебобулочных, кондитерских и макаронных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организации и управления производством хлебобулочных, кондитерских и макаронных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Приемка, хранение и подготовка сырья к переработке.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Производство хлеба и хлебобулочных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Производство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Производство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</w:t>
      </w:r>
      <w:hyperlink w:history="0" w:anchor="P196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Приемка, хранение и подготовка сырья к переработке.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Производство хлеба и хлебобулочных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Производство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Производство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Управление работами и деятельностью по оказанию услуг в области производства хлеба,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Участие в разработке новых видов продукции хлеба,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196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компетенциями.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Приемка, хранение и подготовка сырья к переработке.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и производить приемку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качество поступившего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и осуществлять хранение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и осуществлять подготовку сырья к переработке.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Производство хлеба и хлебобулочных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соблюдение требований к сырью при производстве хлеба и хлебобулочных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и осуществлять технологический процесс изготовления полуфабрикатов при производстве хлеба и хлебобулочных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и осуществлять технологический процесс производства хлеба и хлебобулочных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эксплуатацию технологического оборудования хлебопекарного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Производство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соблюдение требований к сырью при производстве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и осуществлять технологический процесс производства сахаристых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и осуществлять технологический процесс производства мучных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эксплуатацию технологического оборудования при производстве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Производство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Контролировать соблюдение требований к качеству сырья при производстве различных видов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и осуществлять технологический процесс производства различных видов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эксплуатацию технологического оборудования при производстве различных видов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Участвовать в планировании основных показателей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Приемка, хранение и подготовка сырья к переработке.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и производить приемку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качество поступившего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и осуществлять хранение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и осуществлять подготовку сырья к переработке.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Производство хлеба и хлебобулочных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соблюдение требований к качеству сырья при производстве хлеба и хлебобулочных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и осуществлять технологический процесс изготовления полуфабрикатов при производстве хлеба и хлебобулочных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и осуществлять технологический процесс производства хлеба и хлебобулочных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эксплуатацию технологического оборудования хлебопекарного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Производство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соблюдение требований к качеству сырья при производстве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и осуществлять технологический процесс производства сахаристых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и осуществлять технологический процесс производства мучных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эксплуатацию технологического оборудования при производстве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Производство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Контролировать соблюдение требований к качеству сырья при производстве различных видов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и осуществлять технологический процесс производства различных видов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эксплуатацию технологического оборудования при производстве различных видов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Управление работами и деятельностью по оказанию услуг в области производства хлеба,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Планировать основные показатели производства продукции и оказания услуг в области производства хлеба,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Изучать рынок и конъюнктуру продукции и услуг в области производства хлеба,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5.7.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Участие в разработке новых видов продукции хлеба,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Разрабатывать рецептуры новых видов хлеба и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Производить технологические расчеты для новых видов хлеба,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Заполнять сертификационную документацию по новым видам хлеба,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Осуществлять контроль качества новых видов хлеба,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6.5. Производить новые виды хлеба, хлебобулочных, кондитерских и макаронных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(подготовка и защита выпускной квалификационной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94"/>
        <w:gridCol w:w="3287"/>
        <w:gridCol w:w="1976"/>
        <w:gridCol w:w="1876"/>
        <w:gridCol w:w="2839"/>
        <w:gridCol w:w="1935"/>
      </w:tblGrid>
      <w:tr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2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</w:t>
            </w:r>
          </w:p>
          <w:p>
            <w:pPr>
              <w:pStyle w:val="0"/>
            </w:pPr>
            <w:r>
              <w:rPr>
                <w:sz w:val="20"/>
              </w:rPr>
              <w:t xml:space="preserve">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2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ЕН.02.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основы природопользования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и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5.5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 3.4, 4.3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 3.4, 4.3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одежде, правила личной гигиены работников пищевых производств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(далее - АСУ) и системах автоматического управления (далее - 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ОП.05. Автоматизация технологических процессов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Метрология и стандартизация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экономики, менеджмента и маркетинга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1434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Приемка, хранение и подготовка сырья к переработке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поступившего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процесса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сырья к дальнейшей переработке;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по определению органолептических и физико-химических показателей качества сырья хлебопекарного, кондитерского и макаронного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результаты контроля сырья для оптимизации производства хлебобулочных, кондитерских 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основные виды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производственную и технологическую документацию при контроле качества, приемке, хранении и отпуске сырья хлебопекарного, кондитерского и макаронного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потери сырья при 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сырье к дальнейшей переработке;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сырье для правильной замены;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необходимое количество заменителя;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и нормы охраны труда, противопожарной безопасности, промышленной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химический состав и свойства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качеству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органолептические и физико-химические показатели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приемки, хранения и отпуска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основных видов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хранения сырья тарным и бестарным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порчи сырья при хранении и способы ее предотвращения;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сырья к производству;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снижения потерь сырья при хранении и подготовке к производству;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производственное значение замены одного сырья другим;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и правила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противопожарной безопасности, промышленной санитарии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хранения и подготовки сырья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хлеба и хлебобулочных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процесса изготовления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технологического оборудования для производства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сырья и готовой продукции органолептически и аппаратно;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результатам контроля давать рекомендации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соответствующую производственную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производственные рецептуры;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расход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потери и затраты сырья, полуфабрикатов на отдельных участках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производительность печей различных конструкций для различных видов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массу тестовой заготовки, упек и усушку, выход готовых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операции и режимы разделки и выпечки для различных групп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основные виды оборудования при производстве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и подбирать оборудование для автоматизированных и комплексно-механизированных линий для производства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и нормы охраны труда, противопожарной безопасности, промышленной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к качеству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и физико-химические показатели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органолептических и физико-химических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ассортимент, рецептуру и способы приготовления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процессов брожения полуфабрикатов хлебопекарного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регулирования скорости брожения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производственных рецептур, расхода сырья, затрат и потерь сырья и полуфабрикатов на отдельных участках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основных видов оборудования при производстве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"унифицированные рецептуры";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сущность и режимы операций разделки;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соблюдению массы штучных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процессов, происходящих в тесте и хлебе при выпечке;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выпечки в зависимости от вырабатываемого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технологических потерь и затрат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сырья и выхода готовых изделий, пути их снижения;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и технологическое значение упека и усушки хлеба, меры по их снижению;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"выход хлеба";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укладки, условия и сроки хранения хлеба, хлебобулочных, сдобных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сохранения свежести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принцип действия основного технологического, вспомогательного и транспортного оборудования хлебопекарного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противопожарной безопасности, промышленной санитарии в хлебопекарном производстве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хлеба и хлебобулочных изделий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2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2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кондитерских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производства сахаристых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производства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технологического оборудования для производства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органолептические и физико-химические показатели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результатам контроля давать рекомендации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производственную и технологическую документацию при производстве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производственные рецептуры для приготовления различных сахаристых кондитерских изделий и полуфабрикатов карамельного (сиропа, карамельной массы, начинок) и шоколадного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расход сырья и выход полуфабрикатов и готовых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 формования в зависимости от вида конфетной массы;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производственные рецептуры по производству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производительность печей;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основные виды оборудования при производстве сахаристых и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и подбирать оборудование для автоматизированных и комплексно-механизированных линий для производства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сырья для производства сахаристых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свойства, требования действующих стандартов к качеству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и физико-химические показатели качества сырья и готовой кондитерской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органолептических и физико-химических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ассортимент сахаристых кондитерских изделий (карамели, шоколада, конфет и ириса, пастило-мармеладных изделий, драже и халвы);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сахаристых кондитерских изделий (карамели леденцовой и карамели с начинкой;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шоколада;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конфет и ириса;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фруктово-ягодного, желейного мармелада и пастилы;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драже и халвы);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формования конфетных масс и ириса;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полуфабрикатов и готовой продукции сахаристых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ассортимент мучных кондитерских изделий (печенья, пряников, тортов и пирожных, кексов, вафель);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мучных кондитерских изделий (сахаристого и затяжного печенья, сырцовых и заварных пряников, выпеченных и отделочных полуфабрикатов, кексов, вафель);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готовой продукции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дефектов продукции и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и меры но его предупреждению и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принцип действия оборудования для тепловой обработки сырья,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принцип действия оборудования для производства сахаристых и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принцип действия оборудования для завертки, фасовки и упаковки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технического обслуживания основных видов оборудования для производства сахаристых и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противопожарной безопасности, промышленной санитарии при производстве кондитерских изделий</w:t>
            </w:r>
          </w:p>
        </w:tc>
        <w:tc>
          <w:tcPr>
            <w:tcW w:w="197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сахаристых кондитерских изделий</w:t>
            </w:r>
          </w:p>
        </w:tc>
        <w:tc>
          <w:tcPr>
            <w:tcW w:w="19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мучных кондитерских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макаронных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производства различных видов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технического обслуживания технологического оборудования для производства различных видов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органолептические и физико-химические показатели качества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результатам контроля давать рекомендации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производственную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расход сырья и рассчитывать рецептуры;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тип замеса теста с учетом качества муки и ассортимента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режим сушки с учетом ассортимента выпускаемой продукции и типа сушилки;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плановую норму расхода сырья с учетом фактической влажности муки;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фактический расход сырья для производства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вид матрицы для заданных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и подбирать оборудование для автоматизированных и комплексно-механизированных линий для производства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основные виды оборудования при производстве различных видов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и нормы охраны труда, противопожарной безопасности, промышленной санитарии при производстве различных видов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качеству сырья и готовой макаронной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и физико-химические показатели качества сырья и готовой макаронной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органолептических и физико-химических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состав сырья, обогатительных и вкусовых добавок,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групповую характеристику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организацию производства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замеса макаронного теста;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замеса и прессования теста;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назначение вакуумированного теста;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требования к матрицам;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разделки и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дефектов сырых изделий при разделке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сушки коротких и длинных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изменение свойств макаронных изделий при сушке;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стабилизации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упаковки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хранения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нормирование расхода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борьбы с потерями и затратами при производстве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дефектов макаронных изделий и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состав линий для производства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порядок работы макаронных прессов различных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матриц и правила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устройство и принцип работы оборудования для сушки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упаковочного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основных видов оборудования для производства различных видов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противопожарной безопасности, промышленной санитарии при производстве макаронных изделий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производства макаронных изделий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Организации работы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деятельности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выход продукции в ассортименте;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табель учета рабочего времени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заработную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различные операции с сырьем, полуфабрикатами и готовой продукцией;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выхода продукции, порядок оформления табеля учета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издержек производства и пути снижения затрат;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организации работы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документов, порядок их заполнения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Управление структурным подразделением организации</w:t>
            </w:r>
          </w:p>
        </w:tc>
        <w:tc>
          <w:tcPr>
            <w:tcW w:w="193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но учебным циклам ППССЗ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7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87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83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28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654"/>
      </w:tblGrid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5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94"/>
        <w:gridCol w:w="3284"/>
        <w:gridCol w:w="1974"/>
        <w:gridCol w:w="1874"/>
        <w:gridCol w:w="2964"/>
        <w:gridCol w:w="1934"/>
      </w:tblGrid>
      <w:tr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2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2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решить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образовательной программы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4.3, 5.7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конструкции на прочность, жесткость и устойчивость при различных видах деформации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 3.4, 4.3, 5.6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3.4, 4.3, 5.6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давить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Микробиология, санитария и гигиена в пищевом производстве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АСУ и САУ;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ОП.05. Автоматизация технологических процессов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пищевой промышленности,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Экономика организации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соответствия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ОП.08. Управление качеством с основами метрологии и стандартизации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персоналом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Правовое обеспечение профессиональной деятельности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Правовые основы предпринимательской деятельности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Охрана труда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2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</w:t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Приемка, хранение и подготовка сырья к переработке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поступившего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процесса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сырья к дальнейшей переработке;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по определению органолептических и физико-химических показателей качества сырья хлебопекарного, кондитерского и макаронного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результаты контроля сырья для оптимизации производства хлебобулочных, кондитерских 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основные виды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производственную и технологическую документацию при контроле качества, приемке, хранении и отпуске сырья хлебопекарного, кондитерского и макаронного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потери сырья при 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сырье к дальнейшей переработке;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сырье для правильной замены;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необходимое количество заменителя;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и нормы охраны труда, противопожарной безопасности, промышленной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химический состав и свойства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качеству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органолептические и физико-химические показатели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приемки, хранения и отпуска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основных видов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хранения сырья тарным и бестарным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порчи сырья при хранении и способы ее предотвращения;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сырья к производству;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снижения потерь сырья при хранении и подготовке к производству;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производственное значение замены одного сырья другим;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и правила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противопожарной безопасности, промышленной санитарии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хранения и подготовки сырья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хлеба и хлебобулочных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процесса изготовления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технологического оборудования для производства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сырья и готовой продукции органолептически и аппаратно;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результатам контроля давать рекомендации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соответствующую производственную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производственные рецептуры;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расход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потери и затраты сырья, полуфабрикатов на отдельных участках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производительность печей различных конструкций для различных видов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массу тестовой заготовки, упек и усушку, выход готовых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операции и режимы разделки и выпечки для различных групп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основные виды оборудования при производстве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и подбирать оборудование для автоматизированных и комплексно-механизированных линий для производства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и нормы охраны труда, противопожарной безопасности, промышленной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к качеству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и физико-химические показатели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органолептических и физико-химических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ассортимент, рецептуру и способы приготовления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процессов брожения полуфабрикатов хлебопекарного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регулирования скорости брожения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производственных рецептур, расхода сырья, затрат и потерь сырья и полуфабрикатов на отдельных участках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основных видов оборудования при производстве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"унифицированные рецептуры";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сущность и режимы операций разделки;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соблюдению массы штучных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процессов, происходящих в тесте и хлебе при выпечке;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выпечки в зависимости от вырабатываемого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технологических потерь и затрат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сырья и выхода готовых изделий, пути их снижения;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и технологическое значение упека и усушки хлеба, меры по их снижению;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"выход хлеба";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укладки, условия и сроки хранения хлеба, булочных, сдобных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сохранения свежести хлеба и хлебобулочных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принцип действия основного технологического, вспомогательного и транспортного оборудования хлебопекарного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противопожарной безопасности, промышленной санитарии в хлебопекарном производстве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хлеба и хлебобулочных изделий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2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2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кондитерских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производства сахаристых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производства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обслуживания технологического оборудования для производства кондитерских изделий, 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органолептические и физико-химические показатели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результатам контроля давать рекомендации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производственную и технологическую документацию при производстве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производственные рецептуры для приготовления различных сахаристых кондитерских изделий и полуфабрикатов карамельного (сиропа, карамельной массы, начинок) и шоколадного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расход сырья и выход полуфабрикатов и готовых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 формования в зависимости от вида конфетной массы;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производственные рецептуры по производству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производительность печей;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основные виды оборудования при производстве сахаристых и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и подбирать оборудование для автоматизированных и комплексно-механизированных линий для производства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сырья для производства сахаристых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свойства, требования действующих стандартов к качеству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и физико-химические показатели качества сырья и готовой кондитерской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органолептических и физико-химических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ассортимент сахаристых кондитерских изделий (карамели, шоколада, конфет и ириса, пастило-мармеладных изделий, драже и халвы);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сахаристых кондитерских изделий (карамели леденцовой и карамели с начинкой, шоколада, конфет и ириса, фруктово-ягодного, желейного мармелада и пастилы, драже и халвы);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формования конфетных масс и ириса;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полуфабрикатов и готовой продукции сахаристых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ассортимент мучных кондитерских изделий (печенья, пряников, тортов и пирожных, кексов, вафель);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мучных кондитерских изделий (сахаристого и затяжного печенья, сырцовых и заварных пряников, выпеченных и отделочных полуфабрикатов, кексов, вафель);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готовой продукции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дефектов продукции и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и меры по его предупреждению и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принцип действия оборудования для тепловой обработки сырья,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принцип действия оборудования для производства сахаристых и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принцип действия оборудования для завертки, фасовки и упаковки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технического обслуживания основных видов оборудования для производства сахаристых и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противопожарной безопасности, промышленной санитарии при производстве кондитерских изделий</w:t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сахаристых кондитерских изделий</w:t>
            </w:r>
          </w:p>
        </w:tc>
        <w:tc>
          <w:tcPr>
            <w:tcW w:w="19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мучных кондитерских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макаронных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готовой продукции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производства различных видов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технического обслуживания технологического оборудования для производства различных видов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органолептические и физико-химические показатели качества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результатам контроля давать рекомендации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производственную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расход сырья и рассчитывать рецептуры;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тип замеса теста с учетом качества муки и ассортимента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режим сушки с учетом ассортимента выпускаемой продукции и типа сушилки;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плановую норму расхода сырья с учетом фактической влажности муки;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фактический расход сырья для производства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вид матрицы для заданных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и подбирать оборудование для автоматизированных и комплексно-механизированных линий для производства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основные виды оборудования при производстве различных видов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и нормы охраны труда, противопожарной безопасности, промышленной санитарии при производстве различных видов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качеству сырья и готовой макаронной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и физико-химические показатели качества сырья и готовой макаронной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органолептических и физико-химических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состав сырья, обогатительных и вкусовых добавок;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групповую характеристику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организацию производства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замеса макаронного теста;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замеса и прессования теста;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назначение вакуумированного теста;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требования к матрицам;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разделки и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дефектов сырых изделий при разделке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сушки коротких и длинных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изменение свойств макаронных изделий при сушке;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стабилизации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упаковки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хранения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нормирование расхода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борьбы с потерями и затратами при производстве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дефектов макаронных изделий и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состав линий для производства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порядок работы макаронных прессов различных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матриц и правила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устройство и принцип работы оборудования для сушки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упаковочного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основных видов оборудования для производства различных видов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противопожарной безопасности, промышленной санитарии при производстве макаронных изделий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производства макаронных изделий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и деятельностью по оказанию услуг в области производства хлеба, хлебобулочных, кондитерских и макаронных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анализа производственных показателей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продукции и услуг в области производства хлеба, хлебобулочных, кондитерских 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организации отрасли и организации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рынка продукции и услуг в области производства хлеба, хлебобулочных, кондитерских 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производственных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функционирования малого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производства хлеба, хлебобулочных, кондитерских 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т.ч.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Управление структурным подразделением организации и организацией в целом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новых видов хлеба, хлебобулочных, кондитерских и макаронных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расчетов для новых видов хлеба, хлебобулочных, кондитерских и макаронных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новых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новые виды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документацией по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лабораторным оборудованием 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экспериментально подтверждать теоретические положения;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товароведение продовольственных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и характеристику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рецептур новых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порядок оформления документов на новые виды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стандарты и показатели качества сырья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оценки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подбора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этапы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документов по этапам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правила эксплуатации лабораторного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организации и проведения эксперимента;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внедрения новых технологических процессов в производство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</w:pPr>
            <w:r>
              <w:rPr>
                <w:sz w:val="20"/>
              </w:rPr>
              <w:t xml:space="preserve">МДК.06.01. Разработка новых видов продукции</w:t>
            </w:r>
          </w:p>
        </w:tc>
        <w:tc>
          <w:tcPr>
            <w:tcW w:w="19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но одной или нескольким профессиям рабочих, должностям служащих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8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28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516"/>
      </w:tblGrid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1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16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1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1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1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1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1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963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260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изготовления хлебобулочных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хлебопекарного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макарон;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макаронного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кондитерских сахаристых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производства кондитерских сахаристых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пекарня.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шестой - двадцать седьмой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19.02.03</w:t>
      </w:r>
    </w:p>
    <w:p>
      <w:pPr>
        <w:pStyle w:val="0"/>
        <w:jc w:val="right"/>
      </w:pPr>
      <w:r>
        <w:rPr>
          <w:sz w:val="20"/>
        </w:rPr>
        <w:t xml:space="preserve">Технология хлеба, кондитерских</w:t>
      </w:r>
    </w:p>
    <w:p>
      <w:pPr>
        <w:pStyle w:val="0"/>
        <w:jc w:val="right"/>
      </w:pPr>
      <w:r>
        <w:rPr>
          <w:sz w:val="20"/>
        </w:rPr>
        <w:t xml:space="preserve">и макаронных изделий</w:t>
      </w:r>
    </w:p>
    <w:p>
      <w:pPr>
        <w:pStyle w:val="0"/>
        <w:jc w:val="center"/>
      </w:pPr>
      <w:r>
        <w:rPr>
          <w:sz w:val="20"/>
        </w:rPr>
      </w:r>
    </w:p>
    <w:bookmarkStart w:id="1963" w:name="P1963"/>
    <w:bookmarkEnd w:id="196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5216"/>
      </w:tblGrid>
      <w:tr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16111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установки бестарного хранения сырья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11930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Дрожжевод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19137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Тестовод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14251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тестосмесильных машин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19441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Формовщик теста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14253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тесторазделочных машин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13725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закаточных машин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14046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поточной линии формования хлебных изделий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14085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пруфера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16472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Пекарь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16476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Пекарь-мастер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14121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расфасовочно-упаковочных машин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19293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19294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 хлебобулочных изделий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17085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полуфабриката макаронных изделий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18935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Сушильщик длиннотрубчатых макарон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18969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Сушильщик пищевой продукции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11414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Вафельщик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11678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Глазировщик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11899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Дражировщик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4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12901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4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17169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дражировочной массы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4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13705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дражировочных машин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14173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сбивальных машин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14330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формующе-завертывающего полуавтомата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14331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формующих машин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14368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шоколадо-отделочных машин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15677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линии приготовления шоколадной массы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16099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тянульной машины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center"/>
            </w:pPr>
            <w:hyperlink w:history="0"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19502</w:t>
              </w:r>
            </w:hyperlink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  <w:t xml:space="preserve">Халвомес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D7BDB6A9B9AC9299CFC346728C7A1D262C41CBCD72B4001E3014B43660162B9E82855038419A3DDF3EE86BABB6EA09FF3FF28C18EDCA747VDp7I" TargetMode = "External"/>
	<Relationship Id="rId8" Type="http://schemas.openxmlformats.org/officeDocument/2006/relationships/hyperlink" Target="consultantplus://offline/ref=3D7BDB6A9B9AC9299CFC346728C7A1D263C513BAD7214001E3014B43660162B9E82855038419AADDF3EE86BABB6EA09FF3FF28C18EDCA747VDp7I" TargetMode = "External"/>
	<Relationship Id="rId9" Type="http://schemas.openxmlformats.org/officeDocument/2006/relationships/hyperlink" Target="consultantplus://offline/ref=3D7BDB6A9B9AC9299CFC346728C7A1D260CD12B9DF214001E3014B43660162B9FA280D0F851FB4D8F3FBD0EBFDV3p9I" TargetMode = "External"/>
	<Relationship Id="rId10" Type="http://schemas.openxmlformats.org/officeDocument/2006/relationships/hyperlink" Target="consultantplus://offline/ref=3D7BDB6A9B9AC9299CFC346728C7A1D262C41CBCD72B4001E3014B43660162B9E82855038419A3DDF3EE86BABB6EA09FF3FF28C18EDCA747VDp7I" TargetMode = "External"/>
	<Relationship Id="rId11" Type="http://schemas.openxmlformats.org/officeDocument/2006/relationships/hyperlink" Target="consultantplus://offline/ref=3D7BDB6A9B9AC9299CFC346728C7A1D262C41CBCD72B4001E3014B43660162B9E82855038419A3DDF2EE86BABB6EA09FF3FF28C18EDCA747VDp7I" TargetMode = "External"/>
	<Relationship Id="rId12" Type="http://schemas.openxmlformats.org/officeDocument/2006/relationships/hyperlink" Target="consultantplus://offline/ref=3D7BDB6A9B9AC9299CFC346728C7A1D262C41CBCD72B4001E3014B43660162B9E82855038419A3DDF4EE86BABB6EA09FF3FF28C18EDCA747VDp7I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3D7BDB6A9B9AC9299CFC346728C7A1D263C513B9DD7F1703B25445466E5138A9FE6159049A18A8C7F3E5D0VEp9I" TargetMode = "External"/>
	<Relationship Id="rId16" Type="http://schemas.openxmlformats.org/officeDocument/2006/relationships/hyperlink" Target="consultantplus://offline/ref=3D7BDB6A9B9AC9299CFC346728C7A1D263C513B9DD7F1703B25445466E5138A9FE6159049A18A8C7F3E5D0VEp9I" TargetMode = "External"/>
	<Relationship Id="rId17" Type="http://schemas.openxmlformats.org/officeDocument/2006/relationships/hyperlink" Target="consultantplus://offline/ref=3D7BDB6A9B9AC9299CFC346728C7A1D265CE17B8D52F4001E3014B43660162B9FA280D0F851FB4D8F3FBD0EBFDV3p9I" TargetMode = "External"/>
	<Relationship Id="rId18" Type="http://schemas.openxmlformats.org/officeDocument/2006/relationships/hyperlink" Target="consultantplus://offline/ref=3D7BDB6A9B9AC9299CFC346728C7A1D265CF16B8D52B4001E3014B43660162B9E82855018D19A18DA0A187E6FE3DB39FF7FF2BC392VDpCI" TargetMode = "External"/>
	<Relationship Id="rId19" Type="http://schemas.openxmlformats.org/officeDocument/2006/relationships/hyperlink" Target="consultantplus://offline/ref=3D7BDB6A9B9AC9299CFC346728C7A1D265CE17B8D52F4001E3014B43660162B9E82855038419A3D8F1EE86BABB6EA09FF3FF28C18EDCA747VDp7I" TargetMode = "External"/>
	<Relationship Id="rId20" Type="http://schemas.openxmlformats.org/officeDocument/2006/relationships/hyperlink" Target="consultantplus://offline/ref=3D7BDB6A9B9AC9299CFC346728C7A1D262C41CBCD72B4001E3014B43660162B9E82855038419A3DDF7EE86BABB6EA09FF3FF28C18EDCA747VDp7I" TargetMode = "External"/>
	<Relationship Id="rId21" Type="http://schemas.openxmlformats.org/officeDocument/2006/relationships/hyperlink" Target="consultantplus://offline/ref=3D7BDB6A9B9AC9299CFC346728C7A1D265CE17B8D52F4001E3014B43660162B9E82855038419A2D9F2EE86BABB6EA09FF3FF28C18EDCA747VDp7I" TargetMode = "External"/>
	<Relationship Id="rId22" Type="http://schemas.openxmlformats.org/officeDocument/2006/relationships/hyperlink" Target="consultantplus://offline/ref=3D7BDB6A9B9AC9299CFC346728C7A1D260CE11B5DF2F4001E3014B43660162B9E82855038419AAD8F1EE86BABB6EA09FF3FF28C18EDCA747VDp7I" TargetMode = "External"/>
	<Relationship Id="rId23" Type="http://schemas.openxmlformats.org/officeDocument/2006/relationships/hyperlink" Target="consultantplus://offline/ref=3D7BDB6A9B9AC9299CFC346728C7A1D260CE11B5DF2F4001E3014B43660162B9E8285503841AA8DBF5EE86BABB6EA09FF3FF28C18EDCA747VDp7I" TargetMode = "External"/>
	<Relationship Id="rId24" Type="http://schemas.openxmlformats.org/officeDocument/2006/relationships/hyperlink" Target="consultantplus://offline/ref=3D7BDB6A9B9AC9299CFC346728C7A1D260CE11B5DF2F4001E3014B43660162B9E82855038418ABD9F6EE86BABB6EA09FF3FF28C18EDCA747VDp7I" TargetMode = "External"/>
	<Relationship Id="rId25" Type="http://schemas.openxmlformats.org/officeDocument/2006/relationships/hyperlink" Target="consultantplus://offline/ref=3D7BDB6A9B9AC9299CFC346728C7A1D260CE11B5DF2F4001E3014B43660162B9E8285503841DADDDF8EE86BABB6EA09FF3FF28C18EDCA747VDp7I" TargetMode = "External"/>
	<Relationship Id="rId26" Type="http://schemas.openxmlformats.org/officeDocument/2006/relationships/hyperlink" Target="consultantplus://offline/ref=3D7BDB6A9B9AC9299CFC346728C7A1D260CE11B5DF2F4001E3014B43660162B9E8285503841BA8D0F4EE86BABB6EA09FF3FF28C18EDCA747VDp7I" TargetMode = "External"/>
	<Relationship Id="rId27" Type="http://schemas.openxmlformats.org/officeDocument/2006/relationships/hyperlink" Target="consultantplus://offline/ref=3D7BDB6A9B9AC9299CFC346728C7A1D260CE11B5DF2F4001E3014B43660162B9E8285503841DA3DBF0EE86BABB6EA09FF3FF28C18EDCA747VDp7I" TargetMode = "External"/>
	<Relationship Id="rId28" Type="http://schemas.openxmlformats.org/officeDocument/2006/relationships/hyperlink" Target="consultantplus://offline/ref=3D7BDB6A9B9AC9299CFC346728C7A1D260CE11B5DF2F4001E3014B43660162B9E8285503841BA8D0F7EE86BABB6EA09FF3FF28C18EDCA747VDp7I" TargetMode = "External"/>
	<Relationship Id="rId29" Type="http://schemas.openxmlformats.org/officeDocument/2006/relationships/hyperlink" Target="consultantplus://offline/ref=3D7BDB6A9B9AC9299CFC346728C7A1D260CE11B5DF2F4001E3014B43660162B9E82855038411AFDDF4EE86BABB6EA09FF3FF28C18EDCA747VDp7I" TargetMode = "External"/>
	<Relationship Id="rId30" Type="http://schemas.openxmlformats.org/officeDocument/2006/relationships/hyperlink" Target="consultantplus://offline/ref=3D7BDB6A9B9AC9299CFC346728C7A1D260CE11B5DF2F4001E3014B43660162B9E8285503841BABD0F0EE86BABB6EA09FF3FF28C18EDCA747VDp7I" TargetMode = "External"/>
	<Relationship Id="rId31" Type="http://schemas.openxmlformats.org/officeDocument/2006/relationships/hyperlink" Target="consultantplus://offline/ref=3D7BDB6A9B9AC9299CFC346728C7A1D260CE11B5DF2F4001E3014B43660162B9E82855038411AFDCF1EE86BABB6EA09FF3FF28C18EDCA747VDp7I" TargetMode = "External"/>
	<Relationship Id="rId32" Type="http://schemas.openxmlformats.org/officeDocument/2006/relationships/hyperlink" Target="consultantplus://offline/ref=3D7BDB6A9B9AC9299CFC346728C7A1D260CE11B5DF2F4001E3014B43660162B9E8285503841AA9D0F5EE86BABB6EA09FF3FF28C18EDCA747VDp7I" TargetMode = "External"/>
	<Relationship Id="rId33" Type="http://schemas.openxmlformats.org/officeDocument/2006/relationships/hyperlink" Target="consultantplus://offline/ref=3D7BDB6A9B9AC9299CFC346728C7A1D260CE11B5DF2F4001E3014B43660162B9E8285503841AA9D0F7EE86BABB6EA09FF3FF28C18EDCA747VDp7I" TargetMode = "External"/>
	<Relationship Id="rId34" Type="http://schemas.openxmlformats.org/officeDocument/2006/relationships/hyperlink" Target="consultantplus://offline/ref=3D7BDB6A9B9AC9299CFC346728C7A1D260CE11B5DF2F4001E3014B43660162B9E8285503841BA8DBF8EE86BABB6EA09FF3FF28C18EDCA747VDp7I" TargetMode = "External"/>
	<Relationship Id="rId35" Type="http://schemas.openxmlformats.org/officeDocument/2006/relationships/hyperlink" Target="consultantplus://offline/ref=3D7BDB6A9B9AC9299CFC346728C7A1D260CE11B5DF2F4001E3014B43660162B9E8285503841DA2DAF2EE86BABB6EA09FF3FF28C18EDCA747VDp7I" TargetMode = "External"/>
	<Relationship Id="rId36" Type="http://schemas.openxmlformats.org/officeDocument/2006/relationships/hyperlink" Target="consultantplus://offline/ref=3D7BDB6A9B9AC9299CFC346728C7A1D260CE11B5DF2F4001E3014B43660162B9E8285503841DA2DAF5EE86BABB6EA09FF3FF28C18EDCA747VDp7I" TargetMode = "External"/>
	<Relationship Id="rId37" Type="http://schemas.openxmlformats.org/officeDocument/2006/relationships/hyperlink" Target="consultantplus://offline/ref=3D7BDB6A9B9AC9299CFC346728C7A1D260CE11B5DF2F4001E3014B43660162B9E8285503841AACD0F0EE86BABB6EA09FF3FF28C18EDCA747VDp7I" TargetMode = "External"/>
	<Relationship Id="rId38" Type="http://schemas.openxmlformats.org/officeDocument/2006/relationships/hyperlink" Target="consultantplus://offline/ref=3D7BDB6A9B9AC9299CFC346728C7A1D260CE11B5DF2F4001E3014B43660162B9E8285503841DACDAF6EE86BABB6EA09FF3FF28C18EDCA747VDp7I" TargetMode = "External"/>
	<Relationship Id="rId39" Type="http://schemas.openxmlformats.org/officeDocument/2006/relationships/hyperlink" Target="consultantplus://offline/ref=3D7BDB6A9B9AC9299CFC346728C7A1D260CE11B5DF2F4001E3014B43660162B9E82855038411ACDDF0EE86BABB6EA09FF3FF28C18EDCA747VDp7I" TargetMode = "External"/>
	<Relationship Id="rId40" Type="http://schemas.openxmlformats.org/officeDocument/2006/relationships/hyperlink" Target="consultantplus://offline/ref=3D7BDB6A9B9AC9299CFC346728C7A1D260CE11B5DF2F4001E3014B43660162B9E82855038419A2DAF1EE86BABB6EA09FF3FF28C18EDCA747VDp7I" TargetMode = "External"/>
	<Relationship Id="rId41" Type="http://schemas.openxmlformats.org/officeDocument/2006/relationships/hyperlink" Target="consultantplus://offline/ref=3D7BDB6A9B9AC9299CFC346728C7A1D260CE11B5DF2F4001E3014B43660162B9E82855038419A3DFF8EE86BABB6EA09FF3FF28C18EDCA747VDp7I" TargetMode = "External"/>
	<Relationship Id="rId42" Type="http://schemas.openxmlformats.org/officeDocument/2006/relationships/hyperlink" Target="consultantplus://offline/ref=3D7BDB6A9B9AC9299CFC346728C7A1D260CE11B5DF2F4001E3014B43660162B9E82855038418AAD1F7EE86BABB6EA09FF3FF28C18EDCA747VDp7I" TargetMode = "External"/>
	<Relationship Id="rId43" Type="http://schemas.openxmlformats.org/officeDocument/2006/relationships/hyperlink" Target="consultantplus://offline/ref=3D7BDB6A9B9AC9299CFC346728C7A1D260CE11B5DF2F4001E3014B43660162B9E82855038418ACDBF1EE86BABB6EA09FF3FF28C18EDCA747VDp7I" TargetMode = "External"/>
	<Relationship Id="rId44" Type="http://schemas.openxmlformats.org/officeDocument/2006/relationships/hyperlink" Target="consultantplus://offline/ref=3D7BDB6A9B9AC9299CFC346728C7A1D260CE11B5DF2F4001E3014B43660162B9E8285503841AADDAF4EE86BABB6EA09FF3FF28C18EDCA747VDp7I" TargetMode = "External"/>
	<Relationship Id="rId45" Type="http://schemas.openxmlformats.org/officeDocument/2006/relationships/hyperlink" Target="consultantplus://offline/ref=3D7BDB6A9B9AC9299CFC346728C7A1D260CE11B5DF2F4001E3014B43660162B9E8285503841BAAD8F0EE86BABB6EA09FF3FF28C18EDCA747VDp7I" TargetMode = "External"/>
	<Relationship Id="rId46" Type="http://schemas.openxmlformats.org/officeDocument/2006/relationships/hyperlink" Target="consultantplus://offline/ref=3D7BDB6A9B9AC9299CFC346728C7A1D260CE11B5DF2F4001E3014B43660162B9E8285503841BA8DCF5EE86BABB6EA09FF3FF28C18EDCA747VDp7I" TargetMode = "External"/>
	<Relationship Id="rId47" Type="http://schemas.openxmlformats.org/officeDocument/2006/relationships/hyperlink" Target="consultantplus://offline/ref=3D7BDB6A9B9AC9299CFC346728C7A1D260CE11B5DF2F4001E3014B43660162B9E8285503841BA9DAF4EE86BABB6EA09FF3FF28C18EDCA747VDp7I" TargetMode = "External"/>
	<Relationship Id="rId48" Type="http://schemas.openxmlformats.org/officeDocument/2006/relationships/hyperlink" Target="consultantplus://offline/ref=3D7BDB6A9B9AC9299CFC346728C7A1D260CE11B5DF2F4001E3014B43660162B9E8285503841BA9DAF7EE86BABB6EA09FF3FF28C18EDCA747VDp7I" TargetMode = "External"/>
	<Relationship Id="rId49" Type="http://schemas.openxmlformats.org/officeDocument/2006/relationships/hyperlink" Target="consultantplus://offline/ref=3D7BDB6A9B9AC9299CFC346728C7A1D260CE11B5DF2F4001E3014B43660162B9E8285503841BA9DCF5EE86BABB6EA09FF3FF28C18EDCA747VDp7I" TargetMode = "External"/>
	<Relationship Id="rId50" Type="http://schemas.openxmlformats.org/officeDocument/2006/relationships/hyperlink" Target="consultantplus://offline/ref=3D7BDB6A9B9AC9299CFC346728C7A1D260CE11B5DF2F4001E3014B43660162B9E8285503841AAAD8F0EE86BABB6EA09FF3FF28C18EDCA747VDp7I" TargetMode = "External"/>
	<Relationship Id="rId51" Type="http://schemas.openxmlformats.org/officeDocument/2006/relationships/hyperlink" Target="consultantplus://offline/ref=3D7BDB6A9B9AC9299CFC346728C7A1D260CE11B5DF2F4001E3014B43660162B9E8285503841AA8D8F9EE86BABB6EA09FF3FF28C18EDCA747VDp7I" TargetMode = "External"/>
	<Relationship Id="rId52" Type="http://schemas.openxmlformats.org/officeDocument/2006/relationships/hyperlink" Target="consultantplus://offline/ref=3D7BDB6A9B9AC9299CFC346728C7A1D260CE11B5DF2F4001E3014B43660162B9E8285503841DA3DCF8EE86BABB6EA09FF3FF28C18EDCA747VDp7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373
(ред. от 13.07.2021)
"Об утверждении федерального государственного образовательного стандарта среднего профессионального образования по специальности 19.02.03 Технология хлеба, кондитерских и макаронных изделий"
(Зарегистрировано в Минюсте России 01.08.2014 N 33402)</dc:title>
  <dcterms:created xsi:type="dcterms:W3CDTF">2022-12-16T08:41:21Z</dcterms:created>
</cp:coreProperties>
</file>